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927ED" w14:textId="6698B912" w:rsidR="00D506D1" w:rsidRPr="00AF2A5D" w:rsidRDefault="00560BC0" w:rsidP="00FF4BDB">
      <w:pPr>
        <w:spacing w:after="120" w:line="240" w:lineRule="auto"/>
        <w:ind w:left="0" w:firstLineChars="50" w:firstLine="120"/>
        <w:rPr>
          <w:rFonts w:ascii="Times New Roman" w:eastAsia="DengXian" w:hAnsi="Times New Roman" w:cs="Times New Roman"/>
          <w:b/>
          <w:color w:val="auto"/>
        </w:rPr>
      </w:pPr>
      <w:bookmarkStart w:id="0" w:name="_Hlk74938984"/>
      <w:bookmarkStart w:id="1" w:name="_Hlk65508617"/>
      <w:bookmarkStart w:id="2" w:name="_Hlk118550517"/>
      <w:r w:rsidRPr="00AF2A5D">
        <w:rPr>
          <w:noProof/>
        </w:rPr>
        <w:drawing>
          <wp:inline distT="0" distB="0" distL="0" distR="0" wp14:anchorId="47CC9CDF" wp14:editId="17E1FF9F">
            <wp:extent cx="6215062" cy="986123"/>
            <wp:effectExtent l="0" t="0" r="0" b="5080"/>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243636" cy="990657"/>
                    </a:xfrm>
                    <a:prstGeom prst="rect">
                      <a:avLst/>
                    </a:prstGeom>
                    <a:noFill/>
                    <a:ln>
                      <a:noFill/>
                    </a:ln>
                  </pic:spPr>
                </pic:pic>
              </a:graphicData>
            </a:graphic>
          </wp:inline>
        </w:drawing>
      </w:r>
      <w:r w:rsidR="00A769C8" w:rsidRPr="00AF2A5D">
        <w:rPr>
          <w:rFonts w:ascii="Times New Roman" w:eastAsia="DengXian" w:hAnsi="Times New Roman" w:cs="Times New Roman"/>
          <w:b/>
          <w:color w:val="auto"/>
          <w:sz w:val="28"/>
          <w:szCs w:val="24"/>
        </w:rPr>
        <w:t>Article</w:t>
      </w:r>
      <w:r w:rsidR="009B7BC2" w:rsidRPr="00AF2A5D">
        <w:rPr>
          <w:rFonts w:ascii="Times New Roman" w:eastAsia="DengXian" w:hAnsi="Times New Roman" w:cs="Times New Roman"/>
          <w:b/>
          <w:color w:val="auto"/>
          <w:sz w:val="28"/>
          <w:szCs w:val="24"/>
        </w:rPr>
        <w:t xml:space="preserve"> Original</w:t>
      </w:r>
    </w:p>
    <w:p w14:paraId="3A89E5C7" w14:textId="4A245FB5" w:rsidR="00E0076E" w:rsidRPr="001C6525" w:rsidRDefault="001C6525" w:rsidP="00FB2D4F">
      <w:pPr>
        <w:tabs>
          <w:tab w:val="left" w:pos="2268"/>
        </w:tabs>
        <w:spacing w:after="120" w:line="240" w:lineRule="auto"/>
        <w:ind w:left="11" w:hanging="11"/>
        <w:jc w:val="center"/>
        <w:rPr>
          <w:rFonts w:ascii="Times New Roman" w:eastAsia="Times New Roman" w:hAnsi="Times New Roman" w:cs="Times New Roman"/>
          <w:b/>
          <w:bCs/>
          <w:color w:val="17365D"/>
          <w:spacing w:val="5"/>
          <w:sz w:val="36"/>
          <w:szCs w:val="40"/>
        </w:rPr>
      </w:pPr>
      <w:bookmarkStart w:id="3" w:name="_Hlk158760134"/>
      <w:bookmarkEnd w:id="3"/>
      <w:r w:rsidRPr="001C6525">
        <w:rPr>
          <w:rFonts w:ascii="Times New Roman" w:eastAsia="Times New Roman" w:hAnsi="Times New Roman" w:cs="Times New Roman"/>
          <w:b/>
          <w:bCs/>
          <w:color w:val="17365D"/>
          <w:spacing w:val="5"/>
          <w:sz w:val="36"/>
          <w:szCs w:val="40"/>
        </w:rPr>
        <w:t xml:space="preserve">Troubles Neurocognitifs chez l’Épileptique à Kinshasa : </w:t>
      </w:r>
      <w:r w:rsidR="00E0076E" w:rsidRPr="001C6525">
        <w:rPr>
          <w:rFonts w:ascii="Times New Roman" w:eastAsia="Times New Roman" w:hAnsi="Times New Roman" w:cs="Times New Roman"/>
          <w:b/>
          <w:bCs/>
          <w:color w:val="17365D"/>
          <w:spacing w:val="5"/>
          <w:sz w:val="36"/>
          <w:szCs w:val="40"/>
        </w:rPr>
        <w:t>Prévalence et Facteurs Associés</w:t>
      </w:r>
    </w:p>
    <w:p w14:paraId="1AE2816E" w14:textId="4B1429C2" w:rsidR="00E0076E" w:rsidRDefault="001C6525" w:rsidP="004C1DFC">
      <w:pPr>
        <w:tabs>
          <w:tab w:val="left" w:pos="2268"/>
        </w:tabs>
        <w:spacing w:after="120" w:line="240" w:lineRule="auto"/>
        <w:ind w:left="11" w:hanging="11"/>
        <w:jc w:val="center"/>
        <w:rPr>
          <w:rFonts w:ascii="Times New Roman" w:eastAsia="Times New Roman" w:hAnsi="Times New Roman" w:cs="Times New Roman"/>
          <w:b/>
          <w:bCs/>
          <w:i/>
          <w:iCs/>
          <w:color w:val="4F81BD"/>
          <w:spacing w:val="15"/>
          <w:szCs w:val="24"/>
          <w:lang w:val="en-US" w:bidi="en-US"/>
        </w:rPr>
      </w:pPr>
      <w:r w:rsidRPr="001C6525">
        <w:rPr>
          <w:rFonts w:ascii="Times New Roman" w:eastAsia="Times New Roman" w:hAnsi="Times New Roman" w:cs="Times New Roman"/>
          <w:b/>
          <w:bCs/>
          <w:i/>
          <w:iCs/>
          <w:color w:val="4F81BD"/>
          <w:spacing w:val="15"/>
          <w:szCs w:val="24"/>
          <w:lang w:val="en-US" w:bidi="en-US"/>
        </w:rPr>
        <w:t>Neurocognitive Disorders in Epileptic Patients in Kinshasa</w:t>
      </w:r>
      <w:r w:rsidR="00E0076E" w:rsidRPr="00E0076E">
        <w:rPr>
          <w:rFonts w:ascii="Times New Roman" w:eastAsia="Times New Roman" w:hAnsi="Times New Roman" w:cs="Times New Roman"/>
          <w:b/>
          <w:bCs/>
          <w:i/>
          <w:iCs/>
          <w:color w:val="4F81BD"/>
          <w:spacing w:val="15"/>
          <w:szCs w:val="24"/>
          <w:lang w:val="en-US" w:bidi="en-US"/>
        </w:rPr>
        <w:t xml:space="preserve">: Prevalence </w:t>
      </w:r>
      <w:r w:rsidR="00E0076E">
        <w:rPr>
          <w:rFonts w:ascii="Times New Roman" w:eastAsia="Times New Roman" w:hAnsi="Times New Roman" w:cs="Times New Roman"/>
          <w:b/>
          <w:bCs/>
          <w:i/>
          <w:iCs/>
          <w:color w:val="4F81BD"/>
          <w:spacing w:val="15"/>
          <w:szCs w:val="24"/>
          <w:lang w:val="en-US" w:bidi="en-US"/>
        </w:rPr>
        <w:t>a</w:t>
      </w:r>
      <w:r w:rsidR="00E0076E" w:rsidRPr="00E0076E">
        <w:rPr>
          <w:rFonts w:ascii="Times New Roman" w:eastAsia="Times New Roman" w:hAnsi="Times New Roman" w:cs="Times New Roman"/>
          <w:b/>
          <w:bCs/>
          <w:i/>
          <w:iCs/>
          <w:color w:val="4F81BD"/>
          <w:spacing w:val="15"/>
          <w:szCs w:val="24"/>
          <w:lang w:val="en-US" w:bidi="en-US"/>
        </w:rPr>
        <w:t>nd Associated Factors</w:t>
      </w:r>
    </w:p>
    <w:p w14:paraId="57104402" w14:textId="77777777" w:rsidR="00E0076E" w:rsidRPr="00E0076E" w:rsidRDefault="00E0076E" w:rsidP="00E0076E">
      <w:pPr>
        <w:tabs>
          <w:tab w:val="left" w:pos="2268"/>
        </w:tabs>
        <w:spacing w:after="120" w:line="240" w:lineRule="auto"/>
        <w:ind w:left="11" w:hanging="11"/>
        <w:jc w:val="center"/>
        <w:rPr>
          <w:rFonts w:ascii="Times New Roman" w:hAnsi="Times New Roman" w:cs="Times New Roman"/>
          <w:iCs/>
          <w:szCs w:val="32"/>
          <w:lang w:val="en-US"/>
        </w:rPr>
      </w:pPr>
      <w:r w:rsidRPr="00E0076E">
        <w:rPr>
          <w:rFonts w:ascii="Times New Roman" w:hAnsi="Times New Roman" w:cs="Times New Roman"/>
          <w:iCs/>
          <w:szCs w:val="32"/>
          <w:lang w:val="en-US"/>
        </w:rPr>
        <w:t>Hutu Kabamba V</w:t>
      </w:r>
      <w:bookmarkStart w:id="4" w:name="_Hlk219450473"/>
      <w:r w:rsidRPr="00E0076E">
        <w:rPr>
          <w:rFonts w:ascii="Times New Roman" w:hAnsi="Times New Roman" w:cs="Times New Roman"/>
          <w:iCs/>
          <w:szCs w:val="32"/>
          <w:vertAlign w:val="superscript"/>
          <w:lang w:val="en-US"/>
        </w:rPr>
        <w:t>1</w:t>
      </w:r>
      <w:bookmarkEnd w:id="4"/>
      <w:r w:rsidRPr="00E0076E">
        <w:rPr>
          <w:rFonts w:ascii="Times New Roman" w:hAnsi="Times New Roman" w:cs="Times New Roman"/>
          <w:iCs/>
          <w:szCs w:val="32"/>
          <w:lang w:val="en-US"/>
        </w:rPr>
        <w:t>, Ntumba Lukusa A</w:t>
      </w:r>
      <w:r w:rsidRPr="00E0076E">
        <w:rPr>
          <w:rFonts w:ascii="Times New Roman" w:hAnsi="Times New Roman" w:cs="Times New Roman"/>
          <w:iCs/>
          <w:szCs w:val="32"/>
          <w:vertAlign w:val="superscript"/>
          <w:lang w:val="en-US"/>
        </w:rPr>
        <w:t>1</w:t>
      </w:r>
      <w:r w:rsidRPr="00E0076E">
        <w:rPr>
          <w:rFonts w:ascii="Times New Roman" w:hAnsi="Times New Roman" w:cs="Times New Roman"/>
          <w:iCs/>
          <w:szCs w:val="32"/>
          <w:lang w:val="en-US"/>
        </w:rPr>
        <w:t>, Cibamba Kabeya P</w:t>
      </w:r>
      <w:r w:rsidRPr="00E0076E">
        <w:rPr>
          <w:rFonts w:ascii="Times New Roman" w:hAnsi="Times New Roman" w:cs="Times New Roman"/>
          <w:iCs/>
          <w:szCs w:val="32"/>
          <w:vertAlign w:val="superscript"/>
          <w:lang w:val="en-US"/>
        </w:rPr>
        <w:t>1</w:t>
      </w:r>
      <w:r w:rsidRPr="00E0076E">
        <w:rPr>
          <w:rFonts w:ascii="Times New Roman" w:hAnsi="Times New Roman" w:cs="Times New Roman"/>
          <w:iCs/>
          <w:szCs w:val="32"/>
          <w:lang w:val="en-US"/>
        </w:rPr>
        <w:t>, Kayembe Kalula Th</w:t>
      </w:r>
      <w:r w:rsidRPr="00E0076E">
        <w:rPr>
          <w:rFonts w:ascii="Times New Roman" w:hAnsi="Times New Roman" w:cs="Times New Roman"/>
          <w:iCs/>
          <w:szCs w:val="32"/>
          <w:vertAlign w:val="superscript"/>
          <w:lang w:val="en-US"/>
        </w:rPr>
        <w:t>2</w:t>
      </w:r>
    </w:p>
    <w:tbl>
      <w:tblPr>
        <w:tblW w:w="10173" w:type="dxa"/>
        <w:jc w:val="center"/>
        <w:tblLayout w:type="fixed"/>
        <w:tblLook w:val="04A0" w:firstRow="1" w:lastRow="0" w:firstColumn="1" w:lastColumn="0" w:noHBand="0" w:noVBand="1"/>
      </w:tblPr>
      <w:tblGrid>
        <w:gridCol w:w="2977"/>
        <w:gridCol w:w="7196"/>
      </w:tblGrid>
      <w:tr w:rsidR="00D506D1" w:rsidRPr="00C95BFB" w14:paraId="1E147F18" w14:textId="77777777" w:rsidTr="00FD2D96">
        <w:trPr>
          <w:trHeight w:val="158"/>
          <w:jc w:val="center"/>
        </w:trPr>
        <w:tc>
          <w:tcPr>
            <w:tcW w:w="2977" w:type="dxa"/>
          </w:tcPr>
          <w:p w14:paraId="4A8B8CA8" w14:textId="77777777" w:rsidR="00D506D1" w:rsidRPr="004C1DFC" w:rsidRDefault="00D506D1" w:rsidP="00D506D1">
            <w:pPr>
              <w:spacing w:after="0" w:line="240" w:lineRule="auto"/>
              <w:ind w:left="0" w:firstLine="0"/>
              <w:rPr>
                <w:rFonts w:ascii="Calibri" w:eastAsia="DengXian" w:hAnsi="Calibri" w:cs="Times New Roman"/>
                <w:b/>
                <w:bCs/>
                <w:color w:val="365F91"/>
                <w:sz w:val="20"/>
                <w:szCs w:val="18"/>
                <w:lang w:val="en-US"/>
              </w:rPr>
            </w:pPr>
          </w:p>
        </w:tc>
        <w:tc>
          <w:tcPr>
            <w:tcW w:w="7196" w:type="dxa"/>
          </w:tcPr>
          <w:p w14:paraId="669FDDFF" w14:textId="77777777" w:rsidR="00D506D1" w:rsidRPr="004C1DFC" w:rsidRDefault="00D506D1" w:rsidP="00D506D1">
            <w:pPr>
              <w:spacing w:after="0" w:line="240" w:lineRule="auto"/>
              <w:ind w:left="0" w:firstLine="0"/>
              <w:jc w:val="both"/>
              <w:rPr>
                <w:rFonts w:ascii="Times New Roman" w:eastAsia="DengXian" w:hAnsi="Times New Roman" w:cs="Times New Roman"/>
                <w:bCs/>
                <w:iCs/>
                <w:color w:val="auto"/>
                <w:sz w:val="20"/>
                <w:szCs w:val="18"/>
                <w:lang w:val="en-US"/>
              </w:rPr>
            </w:pPr>
          </w:p>
        </w:tc>
      </w:tr>
      <w:tr w:rsidR="00D506D1" w:rsidRPr="00AF2A5D" w14:paraId="41AD90C6" w14:textId="77777777" w:rsidTr="00FD2D96">
        <w:trPr>
          <w:trHeight w:val="98"/>
          <w:jc w:val="center"/>
        </w:trPr>
        <w:tc>
          <w:tcPr>
            <w:tcW w:w="2977" w:type="dxa"/>
            <w:vMerge w:val="restart"/>
            <w:shd w:val="clear" w:color="auto" w:fill="D3DFEE"/>
          </w:tcPr>
          <w:p w14:paraId="135C6E13" w14:textId="39D2A513" w:rsidR="00D506D1" w:rsidRPr="004C1DFC" w:rsidRDefault="006E6CAC" w:rsidP="00D506D1">
            <w:pPr>
              <w:spacing w:after="160" w:line="256" w:lineRule="auto"/>
              <w:ind w:left="0" w:firstLine="0"/>
              <w:rPr>
                <w:rFonts w:ascii="Calibri" w:eastAsia="DengXian" w:hAnsi="Calibri" w:cs="Times New Roman"/>
                <w:b/>
                <w:bCs/>
                <w:color w:val="365F91"/>
                <w:sz w:val="20"/>
                <w:szCs w:val="18"/>
                <w:vertAlign w:val="superscript"/>
                <w:lang w:val="en-US"/>
              </w:rPr>
            </w:pPr>
            <w:r w:rsidRPr="00AF2A5D">
              <w:rPr>
                <w:rFonts w:ascii="Calibri" w:eastAsia="DengXian" w:hAnsi="Calibri" w:cs="Times New Roman"/>
                <w:bCs/>
                <w:noProof/>
                <w:color w:val="5A5A5A"/>
                <w:sz w:val="20"/>
                <w:szCs w:val="20"/>
              </w:rPr>
              <mc:AlternateContent>
                <mc:Choice Requires="wps">
                  <w:drawing>
                    <wp:anchor distT="0" distB="0" distL="114300" distR="114300" simplePos="0" relativeHeight="251659264" behindDoc="0" locked="0" layoutInCell="1" allowOverlap="1" wp14:anchorId="2E4A6FCD" wp14:editId="2A42A723">
                      <wp:simplePos x="0" y="0"/>
                      <wp:positionH relativeFrom="column">
                        <wp:posOffset>34290</wp:posOffset>
                      </wp:positionH>
                      <wp:positionV relativeFrom="paragraph">
                        <wp:posOffset>147320</wp:posOffset>
                      </wp:positionV>
                      <wp:extent cx="1704975" cy="5210175"/>
                      <wp:effectExtent l="0" t="0" r="9525" b="9525"/>
                      <wp:wrapNone/>
                      <wp:docPr id="1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975" cy="5210175"/>
                              </a:xfrm>
                              <a:prstGeom prst="rect">
                                <a:avLst/>
                              </a:prstGeom>
                              <a:solidFill>
                                <a:srgbClr val="FFFFFF"/>
                              </a:solidFill>
                              <a:ln>
                                <a:noFill/>
                              </a:ln>
                              <a:effectLst/>
                            </wps:spPr>
                            <wps:txbx>
                              <w:txbxContent>
                                <w:p w14:paraId="10864625" w14:textId="77777777" w:rsidR="009B0CAD" w:rsidRPr="00AF2A5D" w:rsidRDefault="009B0CAD" w:rsidP="0021204F">
                                  <w:pPr>
                                    <w:spacing w:after="0" w:line="240" w:lineRule="auto"/>
                                    <w:ind w:left="26"/>
                                    <w:jc w:val="both"/>
                                    <w:rPr>
                                      <w:rFonts w:ascii="Times New Roman" w:eastAsia="Times New Roman" w:hAnsi="Times New Roman" w:cs="Times New Roman"/>
                                      <w:sz w:val="18"/>
                                      <w:szCs w:val="18"/>
                                    </w:rPr>
                                  </w:pPr>
                                  <w:r w:rsidRPr="00AF2A5D">
                                    <w:rPr>
                                      <w:rFonts w:ascii="Times New Roman" w:eastAsia="Times New Roman" w:hAnsi="Times New Roman" w:cs="Times New Roman"/>
                                      <w:b/>
                                      <w:bCs/>
                                      <w:sz w:val="18"/>
                                      <w:szCs w:val="20"/>
                                    </w:rPr>
                                    <w:t>Affiliations</w:t>
                                  </w:r>
                                </w:p>
                                <w:p w14:paraId="72FDC412" w14:textId="77777777" w:rsidR="00E0076E" w:rsidRPr="00E0076E" w:rsidRDefault="00E0076E" w:rsidP="00E0076E">
                                  <w:pPr>
                                    <w:numPr>
                                      <w:ilvl w:val="0"/>
                                      <w:numId w:val="62"/>
                                    </w:numPr>
                                    <w:spacing w:after="0" w:line="240" w:lineRule="auto"/>
                                    <w:ind w:left="142" w:hanging="153"/>
                                    <w:rPr>
                                      <w:rFonts w:ascii="Times New Roman" w:eastAsia="Times New Roman" w:hAnsi="Times New Roman" w:cs="Times New Roman"/>
                                      <w:bCs/>
                                      <w:iCs/>
                                      <w:color w:val="auto"/>
                                      <w:sz w:val="18"/>
                                      <w:szCs w:val="18"/>
                                      <w:lang w:val="fr-FR" w:eastAsia="en-US"/>
                                    </w:rPr>
                                  </w:pPr>
                                  <w:bookmarkStart w:id="5" w:name="_Hlk218364694"/>
                                  <w:r w:rsidRPr="00E0076E">
                                    <w:rPr>
                                      <w:rFonts w:ascii="Times New Roman" w:eastAsia="Times New Roman" w:hAnsi="Times New Roman" w:cs="Times New Roman"/>
                                      <w:bCs/>
                                      <w:iCs/>
                                      <w:color w:val="auto"/>
                                      <w:sz w:val="18"/>
                                      <w:szCs w:val="18"/>
                                      <w:lang w:val="fr-FR" w:eastAsia="en-US"/>
                                    </w:rPr>
                                    <w:t xml:space="preserve">Service de consultations externes, Département de Neurologie, Centre Neuro-Psycho-pathologique, Université de Kinshasa. </w:t>
                                  </w:r>
                                  <w:bookmarkEnd w:id="5"/>
                                </w:p>
                                <w:p w14:paraId="0C57DB35" w14:textId="77777777" w:rsidR="00E0076E" w:rsidRPr="00E0076E" w:rsidRDefault="00E0076E" w:rsidP="00E0076E">
                                  <w:pPr>
                                    <w:numPr>
                                      <w:ilvl w:val="0"/>
                                      <w:numId w:val="62"/>
                                    </w:numPr>
                                    <w:spacing w:after="0" w:line="240" w:lineRule="auto"/>
                                    <w:ind w:left="142" w:hanging="153"/>
                                    <w:rPr>
                                      <w:rFonts w:ascii="Times New Roman" w:eastAsia="Times New Roman" w:hAnsi="Times New Roman" w:cs="Times New Roman"/>
                                      <w:bCs/>
                                      <w:iCs/>
                                      <w:color w:val="auto"/>
                                      <w:sz w:val="18"/>
                                      <w:szCs w:val="18"/>
                                      <w:lang w:val="fr-FR" w:eastAsia="en-US"/>
                                    </w:rPr>
                                  </w:pPr>
                                  <w:r w:rsidRPr="00E0076E">
                                    <w:rPr>
                                      <w:rFonts w:ascii="Times New Roman" w:eastAsia="Times New Roman" w:hAnsi="Times New Roman" w:cs="Times New Roman"/>
                                      <w:bCs/>
                                      <w:iCs/>
                                      <w:color w:val="auto"/>
                                      <w:sz w:val="18"/>
                                      <w:szCs w:val="18"/>
                                      <w:lang w:val="fr-FR" w:eastAsia="en-US"/>
                                    </w:rPr>
                                    <w:t>Service de Neurodiagnostic, Département de Neurologie, Centre Neuro-Psycho-pathologique, Université de Kinshasa</w:t>
                                  </w:r>
                                </w:p>
                                <w:p w14:paraId="13A4C14A" w14:textId="6D7F63AC" w:rsidR="00A769C8" w:rsidRPr="00AF2A5D" w:rsidRDefault="00AA56D9" w:rsidP="004206B4">
                                  <w:pPr>
                                    <w:spacing w:after="0" w:line="240" w:lineRule="auto"/>
                                    <w:ind w:left="16" w:firstLine="0"/>
                                    <w:rPr>
                                      <w:rFonts w:ascii="Times New Roman" w:eastAsia="Times New Roman" w:hAnsi="Times New Roman"/>
                                      <w:b/>
                                      <w:bCs/>
                                      <w:sz w:val="18"/>
                                      <w:szCs w:val="18"/>
                                    </w:rPr>
                                  </w:pPr>
                                  <w:r w:rsidRPr="00AF2A5D">
                                    <w:rPr>
                                      <w:rFonts w:ascii="Times New Roman" w:eastAsia="Times New Roman" w:hAnsi="Times New Roman"/>
                                      <w:b/>
                                      <w:bCs/>
                                      <w:sz w:val="18"/>
                                      <w:szCs w:val="18"/>
                                    </w:rPr>
                                    <w:t>Auteur correspondant</w:t>
                                  </w:r>
                                </w:p>
                                <w:p w14:paraId="7BFECAF7" w14:textId="66657A77" w:rsidR="00E0076E" w:rsidRPr="00C732BA" w:rsidRDefault="00E0076E" w:rsidP="00E0076E">
                                  <w:pPr>
                                    <w:spacing w:after="0" w:line="240" w:lineRule="auto"/>
                                    <w:ind w:left="16" w:firstLine="0"/>
                                    <w:rPr>
                                      <w:rFonts w:ascii="Times New Roman" w:eastAsia="Times New Roman" w:hAnsi="Times New Roman"/>
                                      <w:sz w:val="18"/>
                                      <w:szCs w:val="18"/>
                                      <w:lang w:val="fr-FR"/>
                                    </w:rPr>
                                  </w:pPr>
                                  <w:r w:rsidRPr="00C732BA">
                                    <w:rPr>
                                      <w:rFonts w:ascii="Times New Roman" w:eastAsia="Times New Roman" w:hAnsi="Times New Roman"/>
                                      <w:sz w:val="18"/>
                                      <w:szCs w:val="18"/>
                                      <w:lang w:val="fr-FR"/>
                                    </w:rPr>
                                    <w:t xml:space="preserve">Hutu Kabamba Bin Kayoka Victor, MD, MPH, </w:t>
                                  </w:r>
                                  <w:r w:rsidR="004B3BB8" w:rsidRPr="00C732BA">
                                    <w:rPr>
                                      <w:rFonts w:ascii="Times New Roman" w:eastAsia="Times New Roman" w:hAnsi="Times New Roman"/>
                                      <w:sz w:val="18"/>
                                      <w:szCs w:val="18"/>
                                      <w:lang w:val="fr-FR"/>
                                    </w:rPr>
                                    <w:t>PhD ;</w:t>
                                  </w:r>
                                </w:p>
                                <w:p w14:paraId="78BD52BF" w14:textId="77777777" w:rsidR="00E0076E" w:rsidRPr="00E0076E" w:rsidRDefault="00E0076E" w:rsidP="00E0076E">
                                  <w:pPr>
                                    <w:spacing w:after="0" w:line="240" w:lineRule="auto"/>
                                    <w:ind w:left="16" w:firstLine="0"/>
                                    <w:rPr>
                                      <w:rFonts w:ascii="Times New Roman" w:eastAsia="Times New Roman" w:hAnsi="Times New Roman"/>
                                      <w:sz w:val="18"/>
                                      <w:szCs w:val="18"/>
                                    </w:rPr>
                                  </w:pPr>
                                  <w:r w:rsidRPr="00E0076E">
                                    <w:rPr>
                                      <w:rFonts w:ascii="Times New Roman" w:eastAsia="Times New Roman" w:hAnsi="Times New Roman"/>
                                      <w:sz w:val="18"/>
                                      <w:szCs w:val="18"/>
                                    </w:rPr>
                                    <w:t>Service de consultations externes, Département de Neurologie, Centre Neuro-Psycho-pathologique, Université de Kinshasa. BP : 825 Kinshasa XI</w:t>
                                  </w:r>
                                </w:p>
                                <w:p w14:paraId="121C74AE" w14:textId="5E18111A" w:rsidR="00E0076E" w:rsidRPr="00E0076E" w:rsidRDefault="00E0076E" w:rsidP="00E0076E">
                                  <w:pPr>
                                    <w:spacing w:after="0" w:line="240" w:lineRule="auto"/>
                                    <w:ind w:left="16" w:firstLine="0"/>
                                    <w:rPr>
                                      <w:rFonts w:ascii="Times New Roman" w:eastAsia="Times New Roman" w:hAnsi="Times New Roman"/>
                                      <w:sz w:val="18"/>
                                      <w:szCs w:val="18"/>
                                    </w:rPr>
                                  </w:pPr>
                                  <w:r w:rsidRPr="00E0076E">
                                    <w:rPr>
                                      <w:rFonts w:ascii="Times New Roman" w:eastAsia="Times New Roman" w:hAnsi="Times New Roman"/>
                                      <w:sz w:val="18"/>
                                      <w:szCs w:val="18"/>
                                    </w:rPr>
                                    <w:t>Tel</w:t>
                                  </w:r>
                                  <w:r w:rsidR="004B3BB8">
                                    <w:rPr>
                                      <w:rFonts w:ascii="Times New Roman" w:eastAsia="Times New Roman" w:hAnsi="Times New Roman"/>
                                      <w:sz w:val="18"/>
                                      <w:szCs w:val="18"/>
                                    </w:rPr>
                                    <w:t xml:space="preserve"> </w:t>
                                  </w:r>
                                  <w:r w:rsidRPr="00E0076E">
                                    <w:rPr>
                                      <w:rFonts w:ascii="Times New Roman" w:eastAsia="Times New Roman" w:hAnsi="Times New Roman"/>
                                      <w:sz w:val="18"/>
                                      <w:szCs w:val="18"/>
                                    </w:rPr>
                                    <w:t xml:space="preserve">: (+243)998264873 </w:t>
                                  </w:r>
                                </w:p>
                                <w:p w14:paraId="16F9FF8E" w14:textId="5C550589" w:rsidR="004C1DFC" w:rsidRDefault="00E0076E" w:rsidP="00E0076E">
                                  <w:pPr>
                                    <w:spacing w:after="0" w:line="240" w:lineRule="auto"/>
                                    <w:ind w:left="16" w:firstLine="0"/>
                                    <w:rPr>
                                      <w:rFonts w:ascii="Times New Roman" w:eastAsia="Times New Roman" w:hAnsi="Times New Roman"/>
                                      <w:sz w:val="18"/>
                                      <w:szCs w:val="18"/>
                                    </w:rPr>
                                  </w:pPr>
                                  <w:r w:rsidRPr="00E0076E">
                                    <w:rPr>
                                      <w:rFonts w:ascii="Times New Roman" w:eastAsia="Times New Roman" w:hAnsi="Times New Roman"/>
                                      <w:sz w:val="18"/>
                                      <w:szCs w:val="18"/>
                                    </w:rPr>
                                    <w:t>E-mail</w:t>
                                  </w:r>
                                  <w:r w:rsidR="004B3BB8">
                                    <w:rPr>
                                      <w:rFonts w:ascii="Times New Roman" w:eastAsia="Times New Roman" w:hAnsi="Times New Roman"/>
                                      <w:sz w:val="18"/>
                                      <w:szCs w:val="18"/>
                                    </w:rPr>
                                    <w:t xml:space="preserve"> </w:t>
                                  </w:r>
                                  <w:r w:rsidRPr="00E0076E">
                                    <w:rPr>
                                      <w:rFonts w:ascii="Times New Roman" w:eastAsia="Times New Roman" w:hAnsi="Times New Roman"/>
                                      <w:sz w:val="18"/>
                                      <w:szCs w:val="18"/>
                                    </w:rPr>
                                    <w:t xml:space="preserve">: </w:t>
                                  </w:r>
                                  <w:hyperlink r:id="rId9" w:history="1">
                                    <w:r w:rsidRPr="00DA7090">
                                      <w:rPr>
                                        <w:rStyle w:val="Lienhypertexte"/>
                                        <w:rFonts w:ascii="Times New Roman" w:eastAsia="Times New Roman" w:hAnsi="Times New Roman"/>
                                        <w:sz w:val="18"/>
                                        <w:szCs w:val="18"/>
                                      </w:rPr>
                                      <w:t>victorhutu0@gmail.com</w:t>
                                    </w:r>
                                  </w:hyperlink>
                                </w:p>
                                <w:p w14:paraId="55130B73" w14:textId="77777777" w:rsidR="00E0076E" w:rsidRPr="00E0076E" w:rsidRDefault="00E0076E" w:rsidP="00E0076E">
                                  <w:pPr>
                                    <w:spacing w:after="0" w:line="240" w:lineRule="auto"/>
                                    <w:ind w:left="16" w:firstLine="0"/>
                                    <w:rPr>
                                      <w:rFonts w:ascii="Times New Roman" w:eastAsia="Times New Roman" w:hAnsi="Times New Roman" w:cs="Times New Roman"/>
                                      <w:b/>
                                      <w:bCs/>
                                      <w:sz w:val="18"/>
                                      <w:szCs w:val="18"/>
                                      <w:lang w:val="fr-FR"/>
                                    </w:rPr>
                                  </w:pPr>
                                </w:p>
                                <w:p w14:paraId="1DDFF327" w14:textId="1970F8F5" w:rsidR="00FB2D4F" w:rsidRDefault="00AA56D9" w:rsidP="00AA56D9">
                                  <w:pPr>
                                    <w:spacing w:after="0" w:line="240" w:lineRule="auto"/>
                                    <w:ind w:left="16" w:firstLine="0"/>
                                    <w:rPr>
                                      <w:rFonts w:ascii="Times New Roman" w:eastAsia="Times New Roman" w:hAnsi="Times New Roman" w:cs="Times New Roman"/>
                                      <w:sz w:val="18"/>
                                      <w:szCs w:val="18"/>
                                      <w:lang w:val="fr-FR"/>
                                    </w:rPr>
                                  </w:pPr>
                                  <w:r w:rsidRPr="00E0076E">
                                    <w:rPr>
                                      <w:rFonts w:ascii="Times New Roman" w:eastAsia="Times New Roman" w:hAnsi="Times New Roman" w:cs="Times New Roman"/>
                                      <w:b/>
                                      <w:bCs/>
                                      <w:sz w:val="18"/>
                                      <w:szCs w:val="18"/>
                                      <w:lang w:val="fr-FR"/>
                                    </w:rPr>
                                    <w:t xml:space="preserve">Mots clés : </w:t>
                                  </w:r>
                                  <w:r w:rsidR="00E0076E" w:rsidRPr="00E0076E">
                                    <w:rPr>
                                      <w:rFonts w:ascii="Times New Roman" w:eastAsia="Times New Roman" w:hAnsi="Times New Roman" w:cs="Times New Roman"/>
                                      <w:sz w:val="18"/>
                                      <w:szCs w:val="18"/>
                                      <w:lang w:val="fr-FR"/>
                                    </w:rPr>
                                    <w:t>CSI-D</w:t>
                                  </w:r>
                                  <w:r w:rsidR="00D0036E">
                                    <w:rPr>
                                      <w:rFonts w:ascii="Times New Roman" w:eastAsia="Times New Roman" w:hAnsi="Times New Roman" w:cs="Times New Roman"/>
                                      <w:sz w:val="18"/>
                                      <w:szCs w:val="18"/>
                                      <w:lang w:val="fr-FR"/>
                                    </w:rPr>
                                    <w:t xml:space="preserve">, </w:t>
                                  </w:r>
                                  <w:r w:rsidR="00E0076E" w:rsidRPr="00E0076E">
                                    <w:rPr>
                                      <w:rFonts w:ascii="Times New Roman" w:eastAsia="Times New Roman" w:hAnsi="Times New Roman" w:cs="Times New Roman"/>
                                      <w:sz w:val="18"/>
                                      <w:szCs w:val="18"/>
                                      <w:lang w:val="fr-FR"/>
                                    </w:rPr>
                                    <w:t>épilepsie</w:t>
                                  </w:r>
                                  <w:r w:rsidR="00D0036E">
                                    <w:rPr>
                                      <w:rFonts w:ascii="Times New Roman" w:eastAsia="Times New Roman" w:hAnsi="Times New Roman" w:cs="Times New Roman"/>
                                      <w:sz w:val="18"/>
                                      <w:szCs w:val="18"/>
                                      <w:lang w:val="fr-FR"/>
                                    </w:rPr>
                                    <w:t xml:space="preserve">, </w:t>
                                  </w:r>
                                  <w:r w:rsidR="00E0076E" w:rsidRPr="00E0076E">
                                    <w:rPr>
                                      <w:rFonts w:ascii="Times New Roman" w:eastAsia="Times New Roman" w:hAnsi="Times New Roman" w:cs="Times New Roman"/>
                                      <w:sz w:val="18"/>
                                      <w:szCs w:val="18"/>
                                      <w:lang w:val="fr-FR"/>
                                    </w:rPr>
                                    <w:t>facteurs associés</w:t>
                                  </w:r>
                                  <w:r w:rsidR="00D0036E">
                                    <w:rPr>
                                      <w:rFonts w:ascii="Times New Roman" w:eastAsia="Times New Roman" w:hAnsi="Times New Roman" w:cs="Times New Roman"/>
                                      <w:sz w:val="18"/>
                                      <w:szCs w:val="18"/>
                                      <w:lang w:val="fr-FR"/>
                                    </w:rPr>
                                    <w:t xml:space="preserve">, </w:t>
                                  </w:r>
                                  <w:r w:rsidR="00E0076E" w:rsidRPr="00E0076E">
                                    <w:rPr>
                                      <w:rFonts w:ascii="Times New Roman" w:eastAsia="Times New Roman" w:hAnsi="Times New Roman" w:cs="Times New Roman"/>
                                      <w:sz w:val="18"/>
                                      <w:szCs w:val="18"/>
                                      <w:lang w:val="fr-FR"/>
                                    </w:rPr>
                                    <w:t>test de Grober et Buschke</w:t>
                                  </w:r>
                                  <w:r w:rsidR="00D0036E">
                                    <w:rPr>
                                      <w:rFonts w:ascii="Times New Roman" w:eastAsia="Times New Roman" w:hAnsi="Times New Roman" w:cs="Times New Roman"/>
                                      <w:sz w:val="18"/>
                                      <w:szCs w:val="18"/>
                                      <w:lang w:val="fr-FR"/>
                                    </w:rPr>
                                    <w:t xml:space="preserve">, </w:t>
                                  </w:r>
                                  <w:r w:rsidR="00E0076E" w:rsidRPr="00E0076E">
                                    <w:rPr>
                                      <w:rFonts w:ascii="Times New Roman" w:eastAsia="Times New Roman" w:hAnsi="Times New Roman" w:cs="Times New Roman"/>
                                      <w:sz w:val="18"/>
                                      <w:szCs w:val="18"/>
                                      <w:lang w:val="fr-FR"/>
                                    </w:rPr>
                                    <w:t>troubles neurocognitifs</w:t>
                                  </w:r>
                                </w:p>
                                <w:p w14:paraId="084E8D27" w14:textId="7227B395" w:rsidR="009B0CAD" w:rsidRDefault="00AA56D9" w:rsidP="00AA56D9">
                                  <w:pPr>
                                    <w:spacing w:after="0" w:line="240" w:lineRule="auto"/>
                                    <w:ind w:left="16" w:firstLine="0"/>
                                    <w:rPr>
                                      <w:rFonts w:ascii="Times New Roman" w:eastAsia="Times New Roman" w:hAnsi="Times New Roman" w:cs="Times New Roman"/>
                                      <w:bCs/>
                                      <w:sz w:val="18"/>
                                      <w:szCs w:val="18"/>
                                      <w:lang w:val="en-US"/>
                                    </w:rPr>
                                  </w:pPr>
                                  <w:r w:rsidRPr="004C1DFC">
                                    <w:rPr>
                                      <w:rFonts w:ascii="Times New Roman" w:eastAsia="Times New Roman" w:hAnsi="Times New Roman" w:cs="Times New Roman"/>
                                      <w:b/>
                                      <w:sz w:val="18"/>
                                      <w:szCs w:val="18"/>
                                      <w:lang w:val="en-US"/>
                                    </w:rPr>
                                    <w:t xml:space="preserve">Keywords: </w:t>
                                  </w:r>
                                  <w:r w:rsidR="00E0076E" w:rsidRPr="00E0076E">
                                    <w:rPr>
                                      <w:rFonts w:ascii="Times New Roman" w:eastAsia="Times New Roman" w:hAnsi="Times New Roman" w:cs="Times New Roman"/>
                                      <w:bCs/>
                                      <w:sz w:val="18"/>
                                      <w:szCs w:val="18"/>
                                      <w:lang w:val="en-US"/>
                                    </w:rPr>
                                    <w:t>CSI-D</w:t>
                                  </w:r>
                                  <w:r w:rsidR="00D0036E">
                                    <w:rPr>
                                      <w:rFonts w:ascii="Times New Roman" w:eastAsia="Times New Roman" w:hAnsi="Times New Roman" w:cs="Times New Roman"/>
                                      <w:bCs/>
                                      <w:sz w:val="18"/>
                                      <w:szCs w:val="18"/>
                                      <w:lang w:val="en-US"/>
                                    </w:rPr>
                                    <w:t xml:space="preserve">, </w:t>
                                  </w:r>
                                  <w:r w:rsidR="00E0076E" w:rsidRPr="00E0076E">
                                    <w:rPr>
                                      <w:rFonts w:ascii="Times New Roman" w:eastAsia="Times New Roman" w:hAnsi="Times New Roman" w:cs="Times New Roman"/>
                                      <w:bCs/>
                                      <w:sz w:val="18"/>
                                      <w:szCs w:val="18"/>
                                      <w:lang w:val="en-US"/>
                                    </w:rPr>
                                    <w:t>epilepsy</w:t>
                                  </w:r>
                                  <w:r w:rsidR="00D0036E">
                                    <w:rPr>
                                      <w:rFonts w:ascii="Times New Roman" w:eastAsia="Times New Roman" w:hAnsi="Times New Roman" w:cs="Times New Roman"/>
                                      <w:bCs/>
                                      <w:sz w:val="18"/>
                                      <w:szCs w:val="18"/>
                                      <w:lang w:val="en-US"/>
                                    </w:rPr>
                                    <w:t>,</w:t>
                                  </w:r>
                                  <w:r w:rsidR="00E0076E" w:rsidRPr="00E0076E">
                                    <w:rPr>
                                      <w:rFonts w:ascii="Times New Roman" w:eastAsia="Times New Roman" w:hAnsi="Times New Roman" w:cs="Times New Roman"/>
                                      <w:bCs/>
                                      <w:sz w:val="18"/>
                                      <w:szCs w:val="18"/>
                                      <w:lang w:val="en-US"/>
                                    </w:rPr>
                                    <w:t xml:space="preserve"> associated factors</w:t>
                                  </w:r>
                                  <w:r w:rsidR="00D0036E">
                                    <w:rPr>
                                      <w:rFonts w:ascii="Times New Roman" w:eastAsia="Times New Roman" w:hAnsi="Times New Roman" w:cs="Times New Roman"/>
                                      <w:bCs/>
                                      <w:sz w:val="18"/>
                                      <w:szCs w:val="18"/>
                                      <w:lang w:val="en-US"/>
                                    </w:rPr>
                                    <w:t xml:space="preserve">, </w:t>
                                  </w:r>
                                  <w:r w:rsidR="00E0076E" w:rsidRPr="00E0076E">
                                    <w:rPr>
                                      <w:rFonts w:ascii="Times New Roman" w:eastAsia="Times New Roman" w:hAnsi="Times New Roman" w:cs="Times New Roman"/>
                                      <w:bCs/>
                                      <w:sz w:val="18"/>
                                      <w:szCs w:val="18"/>
                                      <w:lang w:val="en-US"/>
                                    </w:rPr>
                                    <w:t>Grober and Buschke test</w:t>
                                  </w:r>
                                  <w:r w:rsidR="00D0036E">
                                    <w:rPr>
                                      <w:rFonts w:ascii="Times New Roman" w:eastAsia="Times New Roman" w:hAnsi="Times New Roman" w:cs="Times New Roman"/>
                                      <w:bCs/>
                                      <w:sz w:val="18"/>
                                      <w:szCs w:val="18"/>
                                      <w:lang w:val="en-US"/>
                                    </w:rPr>
                                    <w:t xml:space="preserve">, </w:t>
                                  </w:r>
                                  <w:r w:rsidR="00E0076E" w:rsidRPr="00E0076E">
                                    <w:rPr>
                                      <w:rFonts w:ascii="Times New Roman" w:eastAsia="Times New Roman" w:hAnsi="Times New Roman" w:cs="Times New Roman"/>
                                      <w:bCs/>
                                      <w:sz w:val="18"/>
                                      <w:szCs w:val="18"/>
                                      <w:lang w:val="en-US"/>
                                    </w:rPr>
                                    <w:t>neurocognitive impairment</w:t>
                                  </w:r>
                                </w:p>
                                <w:p w14:paraId="6437BD51" w14:textId="77777777" w:rsidR="006F3883" w:rsidRDefault="006F3883" w:rsidP="00AA56D9">
                                  <w:pPr>
                                    <w:spacing w:after="0" w:line="240" w:lineRule="auto"/>
                                    <w:ind w:left="16" w:firstLine="0"/>
                                    <w:rPr>
                                      <w:rFonts w:ascii="Times New Roman" w:eastAsia="Times New Roman" w:hAnsi="Times New Roman" w:cs="Times New Roman"/>
                                      <w:sz w:val="18"/>
                                      <w:szCs w:val="18"/>
                                      <w:lang w:val="en-US"/>
                                    </w:rPr>
                                  </w:pPr>
                                </w:p>
                                <w:p w14:paraId="413174FE" w14:textId="77777777" w:rsidR="006F3883" w:rsidRPr="006F3883" w:rsidRDefault="006F3883" w:rsidP="006F3883">
                                  <w:pPr>
                                    <w:spacing w:after="0" w:line="240" w:lineRule="auto"/>
                                    <w:ind w:left="0" w:firstLine="0"/>
                                    <w:rPr>
                                      <w:rFonts w:ascii="Times New Roman" w:eastAsia="Times New Roman" w:hAnsi="Times New Roman" w:cs="Times New Roman"/>
                                      <w:color w:val="auto"/>
                                      <w:szCs w:val="24"/>
                                      <w:lang w:val="en-US" w:eastAsia="fr-CM"/>
                                    </w:rPr>
                                  </w:pPr>
                                  <w:r w:rsidRPr="006F3883">
                                    <w:rPr>
                                      <w:rFonts w:ascii="Times New Roman" w:eastAsia="+mn-ea" w:hAnsi="Times New Roman" w:cs="Times New Roman"/>
                                      <w:b/>
                                      <w:bCs/>
                                      <w:kern w:val="24"/>
                                      <w:sz w:val="18"/>
                                      <w:szCs w:val="18"/>
                                      <w:lang w:val="en-US" w:eastAsia="fr-CM"/>
                                    </w:rPr>
                                    <w:t>Article history</w:t>
                                  </w:r>
                                </w:p>
                                <w:p w14:paraId="21620DF7" w14:textId="4539C1D3" w:rsidR="006F3883" w:rsidRPr="006F3883" w:rsidRDefault="006F3883" w:rsidP="006F3883">
                                  <w:pPr>
                                    <w:spacing w:after="0" w:line="240" w:lineRule="auto"/>
                                    <w:ind w:left="0" w:firstLine="0"/>
                                    <w:rPr>
                                      <w:rFonts w:ascii="Times New Roman" w:eastAsia="Times New Roman" w:hAnsi="Times New Roman" w:cs="Times New Roman"/>
                                      <w:color w:val="auto"/>
                                      <w:szCs w:val="24"/>
                                      <w:lang w:val="en-US" w:eastAsia="fr-CM"/>
                                    </w:rPr>
                                  </w:pPr>
                                  <w:r w:rsidRPr="006F3883">
                                    <w:rPr>
                                      <w:rFonts w:ascii="Times New Roman" w:eastAsia="+mn-ea" w:hAnsi="Times New Roman" w:cs="Times New Roman"/>
                                      <w:kern w:val="24"/>
                                      <w:sz w:val="18"/>
                                      <w:szCs w:val="18"/>
                                      <w:lang w:val="en-US" w:eastAsia="fr-CM"/>
                                    </w:rPr>
                                    <w:t xml:space="preserve">Submitted: </w:t>
                                  </w:r>
                                  <w:r>
                                    <w:rPr>
                                      <w:rFonts w:ascii="Times New Roman" w:eastAsia="+mn-ea" w:hAnsi="Times New Roman" w:cs="Times New Roman"/>
                                      <w:kern w:val="24"/>
                                      <w:sz w:val="18"/>
                                      <w:szCs w:val="18"/>
                                      <w:lang w:val="en-US" w:eastAsia="fr-CM"/>
                                    </w:rPr>
                                    <w:t>16</w:t>
                                  </w:r>
                                  <w:r w:rsidRPr="006F3883">
                                    <w:rPr>
                                      <w:rFonts w:ascii="Times New Roman" w:eastAsia="+mn-ea" w:hAnsi="Times New Roman" w:cs="Times New Roman"/>
                                      <w:kern w:val="24"/>
                                      <w:sz w:val="18"/>
                                      <w:szCs w:val="18"/>
                                      <w:lang w:val="en-US" w:eastAsia="fr-CM"/>
                                    </w:rPr>
                                    <w:t xml:space="preserve"> </w:t>
                                  </w:r>
                                  <w:r>
                                    <w:rPr>
                                      <w:rFonts w:ascii="Times New Roman" w:eastAsia="+mn-ea" w:hAnsi="Times New Roman" w:cs="Times New Roman"/>
                                      <w:kern w:val="24"/>
                                      <w:sz w:val="18"/>
                                      <w:szCs w:val="18"/>
                                      <w:lang w:val="en-US" w:eastAsia="fr-CM"/>
                                    </w:rPr>
                                    <w:t>January</w:t>
                                  </w:r>
                                  <w:r w:rsidRPr="006F3883">
                                    <w:rPr>
                                      <w:rFonts w:ascii="Times New Roman" w:eastAsia="+mn-ea" w:hAnsi="Times New Roman" w:cs="Times New Roman"/>
                                      <w:kern w:val="24"/>
                                      <w:sz w:val="18"/>
                                      <w:szCs w:val="18"/>
                                      <w:lang w:val="en-US" w:eastAsia="fr-CM"/>
                                    </w:rPr>
                                    <w:t xml:space="preserve">  2026</w:t>
                                  </w:r>
                                </w:p>
                                <w:p w14:paraId="49BE8077" w14:textId="77777777" w:rsidR="006F3883" w:rsidRPr="006F3883" w:rsidRDefault="006F3883" w:rsidP="006F3883">
                                  <w:pPr>
                                    <w:spacing w:after="0" w:line="240" w:lineRule="auto"/>
                                    <w:ind w:left="0" w:firstLine="0"/>
                                    <w:rPr>
                                      <w:rFonts w:ascii="Times New Roman" w:eastAsia="Times New Roman" w:hAnsi="Times New Roman" w:cs="Times New Roman"/>
                                      <w:color w:val="auto"/>
                                      <w:szCs w:val="24"/>
                                      <w:lang w:val="en-US" w:eastAsia="fr-CM"/>
                                    </w:rPr>
                                  </w:pPr>
                                  <w:r w:rsidRPr="006F3883">
                                    <w:rPr>
                                      <w:rFonts w:ascii="Times New Roman" w:eastAsia="+mn-ea" w:hAnsi="Times New Roman" w:cs="Times New Roman"/>
                                      <w:kern w:val="24"/>
                                      <w:sz w:val="18"/>
                                      <w:szCs w:val="18"/>
                                      <w:lang w:val="en-US" w:eastAsia="fr-CM"/>
                                    </w:rPr>
                                    <w:t>Revisions requested: 7 April  2026</w:t>
                                  </w:r>
                                </w:p>
                                <w:p w14:paraId="2C5336DD" w14:textId="77777777" w:rsidR="006F3883" w:rsidRPr="006F3883" w:rsidRDefault="006F3883" w:rsidP="006F3883">
                                  <w:pPr>
                                    <w:spacing w:after="0" w:line="240" w:lineRule="auto"/>
                                    <w:ind w:left="0" w:firstLine="0"/>
                                    <w:rPr>
                                      <w:rFonts w:ascii="Times New Roman" w:eastAsia="Times New Roman" w:hAnsi="Times New Roman" w:cs="Times New Roman"/>
                                      <w:color w:val="auto"/>
                                      <w:szCs w:val="24"/>
                                      <w:lang w:eastAsia="fr-CM"/>
                                    </w:rPr>
                                  </w:pPr>
                                  <w:r w:rsidRPr="006F3883">
                                    <w:rPr>
                                      <w:rFonts w:ascii="Times New Roman" w:eastAsia="+mn-ea" w:hAnsi="Times New Roman" w:cs="Times New Roman"/>
                                      <w:kern w:val="24"/>
                                      <w:sz w:val="18"/>
                                      <w:szCs w:val="18"/>
                                      <w:lang w:val="en-US" w:eastAsia="fr-CM"/>
                                    </w:rPr>
                                    <w:t>Accepted: 22 April 2026</w:t>
                                  </w:r>
                                </w:p>
                                <w:p w14:paraId="0F6C89C4" w14:textId="77777777" w:rsidR="006F3883" w:rsidRPr="006F3883" w:rsidRDefault="006F3883" w:rsidP="006F3883">
                                  <w:pPr>
                                    <w:spacing w:after="0" w:line="240" w:lineRule="auto"/>
                                    <w:ind w:left="0" w:firstLine="0"/>
                                    <w:rPr>
                                      <w:rFonts w:ascii="Times New Roman" w:eastAsia="Times New Roman" w:hAnsi="Times New Roman" w:cs="Times New Roman"/>
                                      <w:color w:val="auto"/>
                                      <w:szCs w:val="24"/>
                                      <w:lang w:eastAsia="fr-CM"/>
                                    </w:rPr>
                                  </w:pPr>
                                  <w:r w:rsidRPr="006F3883">
                                    <w:rPr>
                                      <w:rFonts w:ascii="Times New Roman" w:eastAsia="+mn-ea" w:hAnsi="Times New Roman" w:cs="Times New Roman"/>
                                      <w:kern w:val="24"/>
                                      <w:sz w:val="18"/>
                                      <w:szCs w:val="18"/>
                                      <w:lang w:val="en-US" w:eastAsia="fr-CM"/>
                                    </w:rPr>
                                    <w:t>Published: 25 April 2026</w:t>
                                  </w:r>
                                </w:p>
                                <w:p w14:paraId="029AC9A7" w14:textId="77777777" w:rsidR="006F3883" w:rsidRPr="004C1DFC" w:rsidRDefault="006F3883" w:rsidP="00AA56D9">
                                  <w:pPr>
                                    <w:spacing w:after="0" w:line="240" w:lineRule="auto"/>
                                    <w:ind w:left="16" w:firstLine="0"/>
                                    <w:rPr>
                                      <w:rFonts w:ascii="Times New Roman" w:eastAsia="Times New Roman" w:hAnsi="Times New Roman" w:cs="Times New Roman"/>
                                      <w:bCs/>
                                      <w:strike/>
                                      <w:sz w:val="18"/>
                                      <w:szCs w:val="18"/>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E4A6FCD" id="_x0000_t202" coordsize="21600,21600" o:spt="202" path="m,l,21600r21600,l21600,xe">
                      <v:stroke joinstyle="miter"/>
                      <v:path gradientshapeok="t" o:connecttype="rect"/>
                    </v:shapetype>
                    <v:shape id="Zone de texte 2" o:spid="_x0000_s1026" type="#_x0000_t202" style="position:absolute;margin-left:2.7pt;margin-top:11.6pt;width:134.25pt;height:41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" stroked="f">
                      <v:textbox>
                        <w:txbxContent>
                          <w:p w14:paraId="10864625" w14:textId="77777777" w:rsidR="009B0CAD" w:rsidRPr="00AF2A5D" w:rsidRDefault="009B0CAD" w:rsidP="0021204F">
                            <w:pPr>
                              <w:spacing w:after="0" w:line="240" w:lineRule="auto"/>
                              <w:ind w:left="26"/>
                              <w:jc w:val="both"/>
                              <w:rPr>
                                <w:rFonts w:ascii="Times New Roman" w:eastAsia="Times New Roman" w:hAnsi="Times New Roman" w:cs="Times New Roman"/>
                                <w:sz w:val="18"/>
                                <w:szCs w:val="18"/>
                              </w:rPr>
                            </w:pPr>
                            <w:r w:rsidRPr="00AF2A5D">
                              <w:rPr>
                                <w:rFonts w:ascii="Times New Roman" w:eastAsia="Times New Roman" w:hAnsi="Times New Roman" w:cs="Times New Roman"/>
                                <w:b/>
                                <w:bCs/>
                                <w:sz w:val="18"/>
                                <w:szCs w:val="20"/>
                              </w:rPr>
                              <w:t>Affiliations</w:t>
                            </w:r>
                          </w:p>
                          <w:p w14:paraId="72FDC412" w14:textId="77777777" w:rsidR="00E0076E" w:rsidRPr="00E0076E" w:rsidRDefault="00E0076E" w:rsidP="00E0076E">
                            <w:pPr>
                              <w:numPr>
                                <w:ilvl w:val="0"/>
                                <w:numId w:val="62"/>
                              </w:numPr>
                              <w:spacing w:after="0" w:line="240" w:lineRule="auto"/>
                              <w:ind w:left="142" w:hanging="153"/>
                              <w:rPr>
                                <w:rFonts w:ascii="Times New Roman" w:eastAsia="Times New Roman" w:hAnsi="Times New Roman" w:cs="Times New Roman"/>
                                <w:bCs/>
                                <w:iCs/>
                                <w:color w:val="auto"/>
                                <w:sz w:val="18"/>
                                <w:szCs w:val="18"/>
                                <w:lang w:val="fr-FR" w:eastAsia="en-US"/>
                              </w:rPr>
                            </w:pPr>
                            <w:bookmarkStart w:id="6" w:name="_Hlk218364694"/>
                            <w:r w:rsidRPr="00E0076E">
                              <w:rPr>
                                <w:rFonts w:ascii="Times New Roman" w:eastAsia="Times New Roman" w:hAnsi="Times New Roman" w:cs="Times New Roman"/>
                                <w:bCs/>
                                <w:iCs/>
                                <w:color w:val="auto"/>
                                <w:sz w:val="18"/>
                                <w:szCs w:val="18"/>
                                <w:lang w:val="fr-FR" w:eastAsia="en-US"/>
                              </w:rPr>
                              <w:t xml:space="preserve">Service de consultations externes, Département de Neurologie, Centre Neuro-Psycho-pathologique, Université de Kinshasa. </w:t>
                            </w:r>
                            <w:bookmarkEnd w:id="6"/>
                          </w:p>
                          <w:p w14:paraId="0C57DB35" w14:textId="77777777" w:rsidR="00E0076E" w:rsidRPr="00E0076E" w:rsidRDefault="00E0076E" w:rsidP="00E0076E">
                            <w:pPr>
                              <w:numPr>
                                <w:ilvl w:val="0"/>
                                <w:numId w:val="62"/>
                              </w:numPr>
                              <w:spacing w:after="0" w:line="240" w:lineRule="auto"/>
                              <w:ind w:left="142" w:hanging="153"/>
                              <w:rPr>
                                <w:rFonts w:ascii="Times New Roman" w:eastAsia="Times New Roman" w:hAnsi="Times New Roman" w:cs="Times New Roman"/>
                                <w:bCs/>
                                <w:iCs/>
                                <w:color w:val="auto"/>
                                <w:sz w:val="18"/>
                                <w:szCs w:val="18"/>
                                <w:lang w:val="fr-FR" w:eastAsia="en-US"/>
                              </w:rPr>
                            </w:pPr>
                            <w:r w:rsidRPr="00E0076E">
                              <w:rPr>
                                <w:rFonts w:ascii="Times New Roman" w:eastAsia="Times New Roman" w:hAnsi="Times New Roman" w:cs="Times New Roman"/>
                                <w:bCs/>
                                <w:iCs/>
                                <w:color w:val="auto"/>
                                <w:sz w:val="18"/>
                                <w:szCs w:val="18"/>
                                <w:lang w:val="fr-FR" w:eastAsia="en-US"/>
                              </w:rPr>
                              <w:t>Service de Neurodiagnostic, Département de Neurologie, Centre Neuro-Psycho-pathologique, Université de Kinshasa</w:t>
                            </w:r>
                          </w:p>
                          <w:p w14:paraId="13A4C14A" w14:textId="6D7F63AC" w:rsidR="00A769C8" w:rsidRPr="00AF2A5D" w:rsidRDefault="00AA56D9" w:rsidP="004206B4">
                            <w:pPr>
                              <w:spacing w:after="0" w:line="240" w:lineRule="auto"/>
                              <w:ind w:left="16" w:firstLine="0"/>
                              <w:rPr>
                                <w:rFonts w:ascii="Times New Roman" w:eastAsia="Times New Roman" w:hAnsi="Times New Roman"/>
                                <w:b/>
                                <w:bCs/>
                                <w:sz w:val="18"/>
                                <w:szCs w:val="18"/>
                              </w:rPr>
                            </w:pPr>
                            <w:r w:rsidRPr="00AF2A5D">
                              <w:rPr>
                                <w:rFonts w:ascii="Times New Roman" w:eastAsia="Times New Roman" w:hAnsi="Times New Roman"/>
                                <w:b/>
                                <w:bCs/>
                                <w:sz w:val="18"/>
                                <w:szCs w:val="18"/>
                              </w:rPr>
                              <w:t>Auteur correspondant</w:t>
                            </w:r>
                          </w:p>
                          <w:p w14:paraId="7BFECAF7" w14:textId="66657A77" w:rsidR="00E0076E" w:rsidRPr="00C732BA" w:rsidRDefault="00E0076E" w:rsidP="00E0076E">
                            <w:pPr>
                              <w:spacing w:after="0" w:line="240" w:lineRule="auto"/>
                              <w:ind w:left="16" w:firstLine="0"/>
                              <w:rPr>
                                <w:rFonts w:ascii="Times New Roman" w:eastAsia="Times New Roman" w:hAnsi="Times New Roman"/>
                                <w:sz w:val="18"/>
                                <w:szCs w:val="18"/>
                                <w:lang w:val="fr-FR"/>
                              </w:rPr>
                            </w:pPr>
                            <w:r w:rsidRPr="00C732BA">
                              <w:rPr>
                                <w:rFonts w:ascii="Times New Roman" w:eastAsia="Times New Roman" w:hAnsi="Times New Roman"/>
                                <w:sz w:val="18"/>
                                <w:szCs w:val="18"/>
                                <w:lang w:val="fr-FR"/>
                              </w:rPr>
                              <w:t xml:space="preserve">Hutu Kabamba Bin Kayoka Victor, MD, MPH, </w:t>
                            </w:r>
                            <w:r w:rsidR="004B3BB8" w:rsidRPr="00C732BA">
                              <w:rPr>
                                <w:rFonts w:ascii="Times New Roman" w:eastAsia="Times New Roman" w:hAnsi="Times New Roman"/>
                                <w:sz w:val="18"/>
                                <w:szCs w:val="18"/>
                                <w:lang w:val="fr-FR"/>
                              </w:rPr>
                              <w:t>PhD ;</w:t>
                            </w:r>
                          </w:p>
                          <w:p w14:paraId="78BD52BF" w14:textId="77777777" w:rsidR="00E0076E" w:rsidRPr="00E0076E" w:rsidRDefault="00E0076E" w:rsidP="00E0076E">
                            <w:pPr>
                              <w:spacing w:after="0" w:line="240" w:lineRule="auto"/>
                              <w:ind w:left="16" w:firstLine="0"/>
                              <w:rPr>
                                <w:rFonts w:ascii="Times New Roman" w:eastAsia="Times New Roman" w:hAnsi="Times New Roman"/>
                                <w:sz w:val="18"/>
                                <w:szCs w:val="18"/>
                              </w:rPr>
                            </w:pPr>
                            <w:r w:rsidRPr="00E0076E">
                              <w:rPr>
                                <w:rFonts w:ascii="Times New Roman" w:eastAsia="Times New Roman" w:hAnsi="Times New Roman"/>
                                <w:sz w:val="18"/>
                                <w:szCs w:val="18"/>
                              </w:rPr>
                              <w:t>Service de consultations externes, Département de Neurologie, Centre Neuro-Psycho-pathologique, Université de Kinshasa. BP : 825 Kinshasa XI</w:t>
                            </w:r>
                          </w:p>
                          <w:p w14:paraId="121C74AE" w14:textId="5E18111A" w:rsidR="00E0076E" w:rsidRPr="00E0076E" w:rsidRDefault="00E0076E" w:rsidP="00E0076E">
                            <w:pPr>
                              <w:spacing w:after="0" w:line="240" w:lineRule="auto"/>
                              <w:ind w:left="16" w:firstLine="0"/>
                              <w:rPr>
                                <w:rFonts w:ascii="Times New Roman" w:eastAsia="Times New Roman" w:hAnsi="Times New Roman"/>
                                <w:sz w:val="18"/>
                                <w:szCs w:val="18"/>
                              </w:rPr>
                            </w:pPr>
                            <w:r w:rsidRPr="00E0076E">
                              <w:rPr>
                                <w:rFonts w:ascii="Times New Roman" w:eastAsia="Times New Roman" w:hAnsi="Times New Roman"/>
                                <w:sz w:val="18"/>
                                <w:szCs w:val="18"/>
                              </w:rPr>
                              <w:t>Tel</w:t>
                            </w:r>
                            <w:r w:rsidR="004B3BB8">
                              <w:rPr>
                                <w:rFonts w:ascii="Times New Roman" w:eastAsia="Times New Roman" w:hAnsi="Times New Roman"/>
                                <w:sz w:val="18"/>
                                <w:szCs w:val="18"/>
                              </w:rPr>
                              <w:t xml:space="preserve"> </w:t>
                            </w:r>
                            <w:r w:rsidRPr="00E0076E">
                              <w:rPr>
                                <w:rFonts w:ascii="Times New Roman" w:eastAsia="Times New Roman" w:hAnsi="Times New Roman"/>
                                <w:sz w:val="18"/>
                                <w:szCs w:val="18"/>
                              </w:rPr>
                              <w:t xml:space="preserve">: (+243)998264873 </w:t>
                            </w:r>
                          </w:p>
                          <w:p w14:paraId="16F9FF8E" w14:textId="5C550589" w:rsidR="004C1DFC" w:rsidRDefault="00E0076E" w:rsidP="00E0076E">
                            <w:pPr>
                              <w:spacing w:after="0" w:line="240" w:lineRule="auto"/>
                              <w:ind w:left="16" w:firstLine="0"/>
                              <w:rPr>
                                <w:rFonts w:ascii="Times New Roman" w:eastAsia="Times New Roman" w:hAnsi="Times New Roman"/>
                                <w:sz w:val="18"/>
                                <w:szCs w:val="18"/>
                              </w:rPr>
                            </w:pPr>
                            <w:r w:rsidRPr="00E0076E">
                              <w:rPr>
                                <w:rFonts w:ascii="Times New Roman" w:eastAsia="Times New Roman" w:hAnsi="Times New Roman"/>
                                <w:sz w:val="18"/>
                                <w:szCs w:val="18"/>
                              </w:rPr>
                              <w:t>E-mail</w:t>
                            </w:r>
                            <w:r w:rsidR="004B3BB8">
                              <w:rPr>
                                <w:rFonts w:ascii="Times New Roman" w:eastAsia="Times New Roman" w:hAnsi="Times New Roman"/>
                                <w:sz w:val="18"/>
                                <w:szCs w:val="18"/>
                              </w:rPr>
                              <w:t xml:space="preserve"> </w:t>
                            </w:r>
                            <w:r w:rsidRPr="00E0076E">
                              <w:rPr>
                                <w:rFonts w:ascii="Times New Roman" w:eastAsia="Times New Roman" w:hAnsi="Times New Roman"/>
                                <w:sz w:val="18"/>
                                <w:szCs w:val="18"/>
                              </w:rPr>
                              <w:t xml:space="preserve">: </w:t>
                            </w:r>
                            <w:hyperlink r:id="rId10" w:history="1">
                              <w:r w:rsidRPr="00DA7090">
                                <w:rPr>
                                  <w:rStyle w:val="Lienhypertexte"/>
                                  <w:rFonts w:ascii="Times New Roman" w:eastAsia="Times New Roman" w:hAnsi="Times New Roman"/>
                                  <w:sz w:val="18"/>
                                  <w:szCs w:val="18"/>
                                </w:rPr>
                                <w:t>victorhutu0@gmail.com</w:t>
                              </w:r>
                            </w:hyperlink>
                          </w:p>
                          <w:p w14:paraId="55130B73" w14:textId="77777777" w:rsidR="00E0076E" w:rsidRPr="00E0076E" w:rsidRDefault="00E0076E" w:rsidP="00E0076E">
                            <w:pPr>
                              <w:spacing w:after="0" w:line="240" w:lineRule="auto"/>
                              <w:ind w:left="16" w:firstLine="0"/>
                              <w:rPr>
                                <w:rFonts w:ascii="Times New Roman" w:eastAsia="Times New Roman" w:hAnsi="Times New Roman" w:cs="Times New Roman"/>
                                <w:b/>
                                <w:bCs/>
                                <w:sz w:val="18"/>
                                <w:szCs w:val="18"/>
                                <w:lang w:val="fr-FR"/>
                              </w:rPr>
                            </w:pPr>
                          </w:p>
                          <w:p w14:paraId="1DDFF327" w14:textId="1970F8F5" w:rsidR="00FB2D4F" w:rsidRDefault="00AA56D9" w:rsidP="00AA56D9">
                            <w:pPr>
                              <w:spacing w:after="0" w:line="240" w:lineRule="auto"/>
                              <w:ind w:left="16" w:firstLine="0"/>
                              <w:rPr>
                                <w:rFonts w:ascii="Times New Roman" w:eastAsia="Times New Roman" w:hAnsi="Times New Roman" w:cs="Times New Roman"/>
                                <w:sz w:val="18"/>
                                <w:szCs w:val="18"/>
                                <w:lang w:val="fr-FR"/>
                              </w:rPr>
                            </w:pPr>
                            <w:r w:rsidRPr="00E0076E">
                              <w:rPr>
                                <w:rFonts w:ascii="Times New Roman" w:eastAsia="Times New Roman" w:hAnsi="Times New Roman" w:cs="Times New Roman"/>
                                <w:b/>
                                <w:bCs/>
                                <w:sz w:val="18"/>
                                <w:szCs w:val="18"/>
                                <w:lang w:val="fr-FR"/>
                              </w:rPr>
                              <w:t xml:space="preserve">Mots clés : </w:t>
                            </w:r>
                            <w:r w:rsidR="00E0076E" w:rsidRPr="00E0076E">
                              <w:rPr>
                                <w:rFonts w:ascii="Times New Roman" w:eastAsia="Times New Roman" w:hAnsi="Times New Roman" w:cs="Times New Roman"/>
                                <w:sz w:val="18"/>
                                <w:szCs w:val="18"/>
                                <w:lang w:val="fr-FR"/>
                              </w:rPr>
                              <w:t>CSI-D</w:t>
                            </w:r>
                            <w:r w:rsidR="00D0036E">
                              <w:rPr>
                                <w:rFonts w:ascii="Times New Roman" w:eastAsia="Times New Roman" w:hAnsi="Times New Roman" w:cs="Times New Roman"/>
                                <w:sz w:val="18"/>
                                <w:szCs w:val="18"/>
                                <w:lang w:val="fr-FR"/>
                              </w:rPr>
                              <w:t xml:space="preserve">, </w:t>
                            </w:r>
                            <w:r w:rsidR="00E0076E" w:rsidRPr="00E0076E">
                              <w:rPr>
                                <w:rFonts w:ascii="Times New Roman" w:eastAsia="Times New Roman" w:hAnsi="Times New Roman" w:cs="Times New Roman"/>
                                <w:sz w:val="18"/>
                                <w:szCs w:val="18"/>
                                <w:lang w:val="fr-FR"/>
                              </w:rPr>
                              <w:t>épilepsie</w:t>
                            </w:r>
                            <w:r w:rsidR="00D0036E">
                              <w:rPr>
                                <w:rFonts w:ascii="Times New Roman" w:eastAsia="Times New Roman" w:hAnsi="Times New Roman" w:cs="Times New Roman"/>
                                <w:sz w:val="18"/>
                                <w:szCs w:val="18"/>
                                <w:lang w:val="fr-FR"/>
                              </w:rPr>
                              <w:t xml:space="preserve">, </w:t>
                            </w:r>
                            <w:r w:rsidR="00E0076E" w:rsidRPr="00E0076E">
                              <w:rPr>
                                <w:rFonts w:ascii="Times New Roman" w:eastAsia="Times New Roman" w:hAnsi="Times New Roman" w:cs="Times New Roman"/>
                                <w:sz w:val="18"/>
                                <w:szCs w:val="18"/>
                                <w:lang w:val="fr-FR"/>
                              </w:rPr>
                              <w:t>facteurs associés</w:t>
                            </w:r>
                            <w:r w:rsidR="00D0036E">
                              <w:rPr>
                                <w:rFonts w:ascii="Times New Roman" w:eastAsia="Times New Roman" w:hAnsi="Times New Roman" w:cs="Times New Roman"/>
                                <w:sz w:val="18"/>
                                <w:szCs w:val="18"/>
                                <w:lang w:val="fr-FR"/>
                              </w:rPr>
                              <w:t xml:space="preserve">, </w:t>
                            </w:r>
                            <w:r w:rsidR="00E0076E" w:rsidRPr="00E0076E">
                              <w:rPr>
                                <w:rFonts w:ascii="Times New Roman" w:eastAsia="Times New Roman" w:hAnsi="Times New Roman" w:cs="Times New Roman"/>
                                <w:sz w:val="18"/>
                                <w:szCs w:val="18"/>
                                <w:lang w:val="fr-FR"/>
                              </w:rPr>
                              <w:t>test de Grober et Buschke</w:t>
                            </w:r>
                            <w:r w:rsidR="00D0036E">
                              <w:rPr>
                                <w:rFonts w:ascii="Times New Roman" w:eastAsia="Times New Roman" w:hAnsi="Times New Roman" w:cs="Times New Roman"/>
                                <w:sz w:val="18"/>
                                <w:szCs w:val="18"/>
                                <w:lang w:val="fr-FR"/>
                              </w:rPr>
                              <w:t xml:space="preserve">, </w:t>
                            </w:r>
                            <w:r w:rsidR="00E0076E" w:rsidRPr="00E0076E">
                              <w:rPr>
                                <w:rFonts w:ascii="Times New Roman" w:eastAsia="Times New Roman" w:hAnsi="Times New Roman" w:cs="Times New Roman"/>
                                <w:sz w:val="18"/>
                                <w:szCs w:val="18"/>
                                <w:lang w:val="fr-FR"/>
                              </w:rPr>
                              <w:t>troubles neurocognitifs</w:t>
                            </w:r>
                          </w:p>
                          <w:p w14:paraId="084E8D27" w14:textId="7227B395" w:rsidR="009B0CAD" w:rsidRDefault="00AA56D9" w:rsidP="00AA56D9">
                            <w:pPr>
                              <w:spacing w:after="0" w:line="240" w:lineRule="auto"/>
                              <w:ind w:left="16" w:firstLine="0"/>
                              <w:rPr>
                                <w:rFonts w:ascii="Times New Roman" w:eastAsia="Times New Roman" w:hAnsi="Times New Roman" w:cs="Times New Roman"/>
                                <w:bCs/>
                                <w:sz w:val="18"/>
                                <w:szCs w:val="18"/>
                                <w:lang w:val="en-US"/>
                              </w:rPr>
                            </w:pPr>
                            <w:r w:rsidRPr="004C1DFC">
                              <w:rPr>
                                <w:rFonts w:ascii="Times New Roman" w:eastAsia="Times New Roman" w:hAnsi="Times New Roman" w:cs="Times New Roman"/>
                                <w:b/>
                                <w:sz w:val="18"/>
                                <w:szCs w:val="18"/>
                                <w:lang w:val="en-US"/>
                              </w:rPr>
                              <w:t xml:space="preserve">Keywords: </w:t>
                            </w:r>
                            <w:r w:rsidR="00E0076E" w:rsidRPr="00E0076E">
                              <w:rPr>
                                <w:rFonts w:ascii="Times New Roman" w:eastAsia="Times New Roman" w:hAnsi="Times New Roman" w:cs="Times New Roman"/>
                                <w:bCs/>
                                <w:sz w:val="18"/>
                                <w:szCs w:val="18"/>
                                <w:lang w:val="en-US"/>
                              </w:rPr>
                              <w:t>CSI-D</w:t>
                            </w:r>
                            <w:r w:rsidR="00D0036E">
                              <w:rPr>
                                <w:rFonts w:ascii="Times New Roman" w:eastAsia="Times New Roman" w:hAnsi="Times New Roman" w:cs="Times New Roman"/>
                                <w:bCs/>
                                <w:sz w:val="18"/>
                                <w:szCs w:val="18"/>
                                <w:lang w:val="en-US"/>
                              </w:rPr>
                              <w:t xml:space="preserve">, </w:t>
                            </w:r>
                            <w:r w:rsidR="00E0076E" w:rsidRPr="00E0076E">
                              <w:rPr>
                                <w:rFonts w:ascii="Times New Roman" w:eastAsia="Times New Roman" w:hAnsi="Times New Roman" w:cs="Times New Roman"/>
                                <w:bCs/>
                                <w:sz w:val="18"/>
                                <w:szCs w:val="18"/>
                                <w:lang w:val="en-US"/>
                              </w:rPr>
                              <w:t>epilepsy</w:t>
                            </w:r>
                            <w:r w:rsidR="00D0036E">
                              <w:rPr>
                                <w:rFonts w:ascii="Times New Roman" w:eastAsia="Times New Roman" w:hAnsi="Times New Roman" w:cs="Times New Roman"/>
                                <w:bCs/>
                                <w:sz w:val="18"/>
                                <w:szCs w:val="18"/>
                                <w:lang w:val="en-US"/>
                              </w:rPr>
                              <w:t>,</w:t>
                            </w:r>
                            <w:r w:rsidR="00E0076E" w:rsidRPr="00E0076E">
                              <w:rPr>
                                <w:rFonts w:ascii="Times New Roman" w:eastAsia="Times New Roman" w:hAnsi="Times New Roman" w:cs="Times New Roman"/>
                                <w:bCs/>
                                <w:sz w:val="18"/>
                                <w:szCs w:val="18"/>
                                <w:lang w:val="en-US"/>
                              </w:rPr>
                              <w:t xml:space="preserve"> associated factors</w:t>
                            </w:r>
                            <w:r w:rsidR="00D0036E">
                              <w:rPr>
                                <w:rFonts w:ascii="Times New Roman" w:eastAsia="Times New Roman" w:hAnsi="Times New Roman" w:cs="Times New Roman"/>
                                <w:bCs/>
                                <w:sz w:val="18"/>
                                <w:szCs w:val="18"/>
                                <w:lang w:val="en-US"/>
                              </w:rPr>
                              <w:t xml:space="preserve">, </w:t>
                            </w:r>
                            <w:r w:rsidR="00E0076E" w:rsidRPr="00E0076E">
                              <w:rPr>
                                <w:rFonts w:ascii="Times New Roman" w:eastAsia="Times New Roman" w:hAnsi="Times New Roman" w:cs="Times New Roman"/>
                                <w:bCs/>
                                <w:sz w:val="18"/>
                                <w:szCs w:val="18"/>
                                <w:lang w:val="en-US"/>
                              </w:rPr>
                              <w:t>Grober and Buschke test</w:t>
                            </w:r>
                            <w:r w:rsidR="00D0036E">
                              <w:rPr>
                                <w:rFonts w:ascii="Times New Roman" w:eastAsia="Times New Roman" w:hAnsi="Times New Roman" w:cs="Times New Roman"/>
                                <w:bCs/>
                                <w:sz w:val="18"/>
                                <w:szCs w:val="18"/>
                                <w:lang w:val="en-US"/>
                              </w:rPr>
                              <w:t xml:space="preserve">, </w:t>
                            </w:r>
                            <w:r w:rsidR="00E0076E" w:rsidRPr="00E0076E">
                              <w:rPr>
                                <w:rFonts w:ascii="Times New Roman" w:eastAsia="Times New Roman" w:hAnsi="Times New Roman" w:cs="Times New Roman"/>
                                <w:bCs/>
                                <w:sz w:val="18"/>
                                <w:szCs w:val="18"/>
                                <w:lang w:val="en-US"/>
                              </w:rPr>
                              <w:t>neurocognitive impairment</w:t>
                            </w:r>
                          </w:p>
                          <w:p w14:paraId="6437BD51" w14:textId="77777777" w:rsidR="006F3883" w:rsidRDefault="006F3883" w:rsidP="00AA56D9">
                            <w:pPr>
                              <w:spacing w:after="0" w:line="240" w:lineRule="auto"/>
                              <w:ind w:left="16" w:firstLine="0"/>
                              <w:rPr>
                                <w:rFonts w:ascii="Times New Roman" w:eastAsia="Times New Roman" w:hAnsi="Times New Roman" w:cs="Times New Roman"/>
                                <w:sz w:val="18"/>
                                <w:szCs w:val="18"/>
                                <w:lang w:val="en-US"/>
                              </w:rPr>
                            </w:pPr>
                          </w:p>
                          <w:p w14:paraId="413174FE" w14:textId="77777777" w:rsidR="006F3883" w:rsidRPr="006F3883" w:rsidRDefault="006F3883" w:rsidP="006F3883">
                            <w:pPr>
                              <w:spacing w:after="0" w:line="240" w:lineRule="auto"/>
                              <w:ind w:left="0" w:firstLine="0"/>
                              <w:rPr>
                                <w:rFonts w:ascii="Times New Roman" w:eastAsia="Times New Roman" w:hAnsi="Times New Roman" w:cs="Times New Roman"/>
                                <w:color w:val="auto"/>
                                <w:szCs w:val="24"/>
                                <w:lang w:val="en-US" w:eastAsia="fr-CM"/>
                              </w:rPr>
                            </w:pPr>
                            <w:r w:rsidRPr="006F3883">
                              <w:rPr>
                                <w:rFonts w:ascii="Times New Roman" w:eastAsia="+mn-ea" w:hAnsi="Times New Roman" w:cs="Times New Roman"/>
                                <w:b/>
                                <w:bCs/>
                                <w:kern w:val="24"/>
                                <w:sz w:val="18"/>
                                <w:szCs w:val="18"/>
                                <w:lang w:val="en-US" w:eastAsia="fr-CM"/>
                              </w:rPr>
                              <w:t>Article history</w:t>
                            </w:r>
                          </w:p>
                          <w:p w14:paraId="21620DF7" w14:textId="4539C1D3" w:rsidR="006F3883" w:rsidRPr="006F3883" w:rsidRDefault="006F3883" w:rsidP="006F3883">
                            <w:pPr>
                              <w:spacing w:after="0" w:line="240" w:lineRule="auto"/>
                              <w:ind w:left="0" w:firstLine="0"/>
                              <w:rPr>
                                <w:rFonts w:ascii="Times New Roman" w:eastAsia="Times New Roman" w:hAnsi="Times New Roman" w:cs="Times New Roman"/>
                                <w:color w:val="auto"/>
                                <w:szCs w:val="24"/>
                                <w:lang w:val="en-US" w:eastAsia="fr-CM"/>
                              </w:rPr>
                            </w:pPr>
                            <w:r w:rsidRPr="006F3883">
                              <w:rPr>
                                <w:rFonts w:ascii="Times New Roman" w:eastAsia="+mn-ea" w:hAnsi="Times New Roman" w:cs="Times New Roman"/>
                                <w:kern w:val="24"/>
                                <w:sz w:val="18"/>
                                <w:szCs w:val="18"/>
                                <w:lang w:val="en-US" w:eastAsia="fr-CM"/>
                              </w:rPr>
                              <w:t xml:space="preserve">Submitted: </w:t>
                            </w:r>
                            <w:r>
                              <w:rPr>
                                <w:rFonts w:ascii="Times New Roman" w:eastAsia="+mn-ea" w:hAnsi="Times New Roman" w:cs="Times New Roman"/>
                                <w:kern w:val="24"/>
                                <w:sz w:val="18"/>
                                <w:szCs w:val="18"/>
                                <w:lang w:val="en-US" w:eastAsia="fr-CM"/>
                              </w:rPr>
                              <w:t>16</w:t>
                            </w:r>
                            <w:r w:rsidRPr="006F3883">
                              <w:rPr>
                                <w:rFonts w:ascii="Times New Roman" w:eastAsia="+mn-ea" w:hAnsi="Times New Roman" w:cs="Times New Roman"/>
                                <w:kern w:val="24"/>
                                <w:sz w:val="18"/>
                                <w:szCs w:val="18"/>
                                <w:lang w:val="en-US" w:eastAsia="fr-CM"/>
                              </w:rPr>
                              <w:t xml:space="preserve"> </w:t>
                            </w:r>
                            <w:r>
                              <w:rPr>
                                <w:rFonts w:ascii="Times New Roman" w:eastAsia="+mn-ea" w:hAnsi="Times New Roman" w:cs="Times New Roman"/>
                                <w:kern w:val="24"/>
                                <w:sz w:val="18"/>
                                <w:szCs w:val="18"/>
                                <w:lang w:val="en-US" w:eastAsia="fr-CM"/>
                              </w:rPr>
                              <w:t>January</w:t>
                            </w:r>
                            <w:r w:rsidRPr="006F3883">
                              <w:rPr>
                                <w:rFonts w:ascii="Times New Roman" w:eastAsia="+mn-ea" w:hAnsi="Times New Roman" w:cs="Times New Roman"/>
                                <w:kern w:val="24"/>
                                <w:sz w:val="18"/>
                                <w:szCs w:val="18"/>
                                <w:lang w:val="en-US" w:eastAsia="fr-CM"/>
                              </w:rPr>
                              <w:t xml:space="preserve">  2026</w:t>
                            </w:r>
                          </w:p>
                          <w:p w14:paraId="49BE8077" w14:textId="77777777" w:rsidR="006F3883" w:rsidRPr="006F3883" w:rsidRDefault="006F3883" w:rsidP="006F3883">
                            <w:pPr>
                              <w:spacing w:after="0" w:line="240" w:lineRule="auto"/>
                              <w:ind w:left="0" w:firstLine="0"/>
                              <w:rPr>
                                <w:rFonts w:ascii="Times New Roman" w:eastAsia="Times New Roman" w:hAnsi="Times New Roman" w:cs="Times New Roman"/>
                                <w:color w:val="auto"/>
                                <w:szCs w:val="24"/>
                                <w:lang w:val="en-US" w:eastAsia="fr-CM"/>
                              </w:rPr>
                            </w:pPr>
                            <w:r w:rsidRPr="006F3883">
                              <w:rPr>
                                <w:rFonts w:ascii="Times New Roman" w:eastAsia="+mn-ea" w:hAnsi="Times New Roman" w:cs="Times New Roman"/>
                                <w:kern w:val="24"/>
                                <w:sz w:val="18"/>
                                <w:szCs w:val="18"/>
                                <w:lang w:val="en-US" w:eastAsia="fr-CM"/>
                              </w:rPr>
                              <w:t>Revisions requested: 7 April  2026</w:t>
                            </w:r>
                          </w:p>
                          <w:p w14:paraId="2C5336DD" w14:textId="77777777" w:rsidR="006F3883" w:rsidRPr="006F3883" w:rsidRDefault="006F3883" w:rsidP="006F3883">
                            <w:pPr>
                              <w:spacing w:after="0" w:line="240" w:lineRule="auto"/>
                              <w:ind w:left="0" w:firstLine="0"/>
                              <w:rPr>
                                <w:rFonts w:ascii="Times New Roman" w:eastAsia="Times New Roman" w:hAnsi="Times New Roman" w:cs="Times New Roman"/>
                                <w:color w:val="auto"/>
                                <w:szCs w:val="24"/>
                                <w:lang w:eastAsia="fr-CM"/>
                              </w:rPr>
                            </w:pPr>
                            <w:r w:rsidRPr="006F3883">
                              <w:rPr>
                                <w:rFonts w:ascii="Times New Roman" w:eastAsia="+mn-ea" w:hAnsi="Times New Roman" w:cs="Times New Roman"/>
                                <w:kern w:val="24"/>
                                <w:sz w:val="18"/>
                                <w:szCs w:val="18"/>
                                <w:lang w:val="en-US" w:eastAsia="fr-CM"/>
                              </w:rPr>
                              <w:t>Accepted: 22 April 2026</w:t>
                            </w:r>
                          </w:p>
                          <w:p w14:paraId="0F6C89C4" w14:textId="77777777" w:rsidR="006F3883" w:rsidRPr="006F3883" w:rsidRDefault="006F3883" w:rsidP="006F3883">
                            <w:pPr>
                              <w:spacing w:after="0" w:line="240" w:lineRule="auto"/>
                              <w:ind w:left="0" w:firstLine="0"/>
                              <w:rPr>
                                <w:rFonts w:ascii="Times New Roman" w:eastAsia="Times New Roman" w:hAnsi="Times New Roman" w:cs="Times New Roman"/>
                                <w:color w:val="auto"/>
                                <w:szCs w:val="24"/>
                                <w:lang w:eastAsia="fr-CM"/>
                              </w:rPr>
                            </w:pPr>
                            <w:r w:rsidRPr="006F3883">
                              <w:rPr>
                                <w:rFonts w:ascii="Times New Roman" w:eastAsia="+mn-ea" w:hAnsi="Times New Roman" w:cs="Times New Roman"/>
                                <w:kern w:val="24"/>
                                <w:sz w:val="18"/>
                                <w:szCs w:val="18"/>
                                <w:lang w:val="en-US" w:eastAsia="fr-CM"/>
                              </w:rPr>
                              <w:t>Published: 25 April 2026</w:t>
                            </w:r>
                          </w:p>
                          <w:p w14:paraId="029AC9A7" w14:textId="77777777" w:rsidR="006F3883" w:rsidRPr="004C1DFC" w:rsidRDefault="006F3883" w:rsidP="00AA56D9">
                            <w:pPr>
                              <w:spacing w:after="0" w:line="240" w:lineRule="auto"/>
                              <w:ind w:left="16" w:firstLine="0"/>
                              <w:rPr>
                                <w:rFonts w:ascii="Times New Roman" w:eastAsia="Times New Roman" w:hAnsi="Times New Roman" w:cs="Times New Roman"/>
                                <w:bCs/>
                                <w:strike/>
                                <w:sz w:val="18"/>
                                <w:szCs w:val="18"/>
                                <w:lang w:val="en-US"/>
                              </w:rPr>
                            </w:pPr>
                          </w:p>
                        </w:txbxContent>
                      </v:textbox>
                    </v:shape>
                  </w:pict>
                </mc:Fallback>
              </mc:AlternateContent>
            </w:r>
          </w:p>
        </w:tc>
        <w:tc>
          <w:tcPr>
            <w:tcW w:w="7196" w:type="dxa"/>
            <w:shd w:val="clear" w:color="auto" w:fill="D3DFEE"/>
          </w:tcPr>
          <w:p w14:paraId="5BF784C6" w14:textId="490556E5" w:rsidR="00D506D1" w:rsidRPr="00AF2A5D" w:rsidRDefault="00AA56D9" w:rsidP="007351E9">
            <w:pPr>
              <w:spacing w:after="0" w:line="240" w:lineRule="auto"/>
              <w:ind w:left="0" w:firstLine="0"/>
              <w:jc w:val="both"/>
              <w:rPr>
                <w:rFonts w:ascii="Times New Roman" w:eastAsia="DengXian" w:hAnsi="Times New Roman" w:cs="Times New Roman"/>
                <w:b/>
                <w:bCs/>
                <w:iCs/>
                <w:color w:val="auto"/>
                <w:sz w:val="20"/>
                <w:szCs w:val="18"/>
              </w:rPr>
            </w:pPr>
            <w:r w:rsidRPr="00AF2A5D">
              <w:rPr>
                <w:rFonts w:ascii="Times New Roman" w:eastAsia="DengXian" w:hAnsi="Times New Roman" w:cs="Times New Roman"/>
                <w:b/>
                <w:bCs/>
                <w:iCs/>
                <w:color w:val="auto"/>
                <w:sz w:val="20"/>
                <w:szCs w:val="18"/>
              </w:rPr>
              <w:t>RÉSUMÉ</w:t>
            </w:r>
          </w:p>
        </w:tc>
      </w:tr>
      <w:tr w:rsidR="00D506D1" w:rsidRPr="00AF2A5D" w14:paraId="3395B2B3" w14:textId="77777777" w:rsidTr="00FD2D96">
        <w:trPr>
          <w:trHeight w:val="3394"/>
          <w:jc w:val="center"/>
        </w:trPr>
        <w:tc>
          <w:tcPr>
            <w:tcW w:w="2977" w:type="dxa"/>
            <w:vMerge/>
          </w:tcPr>
          <w:p w14:paraId="3A97C489" w14:textId="77777777" w:rsidR="00D506D1" w:rsidRPr="00AF2A5D" w:rsidRDefault="00D506D1" w:rsidP="00D506D1">
            <w:pPr>
              <w:spacing w:after="160" w:line="256" w:lineRule="auto"/>
              <w:ind w:left="0" w:firstLine="0"/>
              <w:rPr>
                <w:rFonts w:ascii="Calibri" w:eastAsia="DengXian" w:hAnsi="Calibri" w:cs="Times New Roman"/>
                <w:b/>
                <w:bCs/>
                <w:color w:val="365F91"/>
                <w:sz w:val="20"/>
                <w:szCs w:val="18"/>
                <w:vertAlign w:val="superscript"/>
              </w:rPr>
            </w:pPr>
          </w:p>
        </w:tc>
        <w:tc>
          <w:tcPr>
            <w:tcW w:w="7196" w:type="dxa"/>
          </w:tcPr>
          <w:p w14:paraId="0500DDCF" w14:textId="77777777" w:rsidR="00E151FF" w:rsidRPr="00A83A4F" w:rsidRDefault="00E151FF" w:rsidP="00E151FF">
            <w:pPr>
              <w:spacing w:after="0" w:line="240" w:lineRule="auto"/>
              <w:jc w:val="both"/>
              <w:rPr>
                <w:rFonts w:ascii="Times New Roman" w:hAnsi="Times New Roman" w:cs="Times New Roman"/>
                <w:sz w:val="18"/>
                <w:szCs w:val="18"/>
              </w:rPr>
            </w:pPr>
            <w:r w:rsidRPr="00A83A4F">
              <w:rPr>
                <w:rFonts w:ascii="Times New Roman" w:hAnsi="Times New Roman" w:cs="Times New Roman"/>
                <w:b/>
                <w:bCs/>
                <w:sz w:val="18"/>
                <w:szCs w:val="18"/>
              </w:rPr>
              <w:t>Introduction</w:t>
            </w:r>
            <w:r w:rsidRPr="00A83A4F">
              <w:rPr>
                <w:rFonts w:ascii="Times New Roman" w:hAnsi="Times New Roman" w:cs="Times New Roman"/>
                <w:sz w:val="18"/>
                <w:szCs w:val="18"/>
              </w:rPr>
              <w:t xml:space="preserve">. Les troubles neurocognitifs (TNC) représentent un défi majeur de santé publique en Afrique, où les données sur leur association avec l’épilepsie restent limitées. Cette étude a évalué les fonctions neurocognitives et identifié les facteurs associés à leurs troubles chez les patients suivis pour épilepsie au Centre Neuro-Psycho-pathologique de l’Université de Kinshasa (CNPP/Unikin).  </w:t>
            </w:r>
            <w:r w:rsidRPr="00A83A4F">
              <w:rPr>
                <w:rFonts w:ascii="Times New Roman" w:hAnsi="Times New Roman" w:cs="Times New Roman"/>
                <w:b/>
                <w:bCs/>
                <w:sz w:val="18"/>
                <w:szCs w:val="18"/>
              </w:rPr>
              <w:t>Méthodes</w:t>
            </w:r>
            <w:r w:rsidRPr="00A83A4F">
              <w:rPr>
                <w:rFonts w:ascii="Times New Roman" w:hAnsi="Times New Roman" w:cs="Times New Roman"/>
                <w:sz w:val="18"/>
                <w:szCs w:val="18"/>
              </w:rPr>
              <w:t xml:space="preserve">. </w:t>
            </w:r>
            <w:r>
              <w:rPr>
                <w:rFonts w:ascii="Times New Roman" w:hAnsi="Times New Roman" w:cs="Times New Roman"/>
                <w:sz w:val="18"/>
                <w:szCs w:val="18"/>
              </w:rPr>
              <w:t>Notre</w:t>
            </w:r>
            <w:r w:rsidRPr="00A83A4F">
              <w:rPr>
                <w:rFonts w:ascii="Times New Roman" w:hAnsi="Times New Roman" w:cs="Times New Roman"/>
                <w:sz w:val="18"/>
                <w:szCs w:val="18"/>
              </w:rPr>
              <w:t xml:space="preserve"> étude cas‑témoin a inclus, de décembre 2007 à décembre 2021, des patients épileptiques (cas) et des sujets non épileptiques (témoins) appariés selon l’âge et le sexe. L’épilepsie a été diagnostiquée selon les critères de l’ILAE. Les fonctions neurocognitives ont été évaluées par le test de Grober et Buschke après dépistage par le Community Screening Interview for Dementia (CSI‑D). Une régression logistique a identifié les facteurs associés aux TNC.  </w:t>
            </w:r>
            <w:r w:rsidRPr="00A83A4F">
              <w:rPr>
                <w:rFonts w:ascii="Times New Roman" w:hAnsi="Times New Roman" w:cs="Times New Roman"/>
                <w:b/>
                <w:bCs/>
                <w:sz w:val="18"/>
                <w:szCs w:val="18"/>
              </w:rPr>
              <w:t>Résultats</w:t>
            </w:r>
            <w:r w:rsidRPr="00A83A4F">
              <w:rPr>
                <w:rFonts w:ascii="Times New Roman" w:hAnsi="Times New Roman" w:cs="Times New Roman"/>
                <w:sz w:val="18"/>
                <w:szCs w:val="18"/>
              </w:rPr>
              <w:t xml:space="preserve">. Sur 300 participants (150 cas, 150 témoins), la prévalence des TNC était de 55,3 % chez les épileptiques contre 31,3 % chez les témoins. L’épilepsie constituait un facteur de risque indépendant (OR ajusté = 2,54 ; IC95 % : 1,49‑4,32). Les TNC étaient principalement légers (50,6 %) et mnésiques (68,7 %). Chez les épileptiques, les facteurs associés aux TNC étaient : l’âge ≥ 55 ans (OR = 3,46), une durée d’évolution &gt; 10 ans (OR = 2,36), un bas niveau d’instruction (OR = 0,25, facteur protecteur pour le niveau élevé) et la polythérapie anticonvulsivante (association ≥ 2 antiépileptiques, OR = 3,81). Les TNC multi‑domaines (amnésiques ou non) étaient fortement liés à l’épilepsie (OR = 2,47 ; IC95 % : 1,31‑4,76).  </w:t>
            </w:r>
            <w:r w:rsidRPr="00A83A4F">
              <w:rPr>
                <w:rFonts w:ascii="Times New Roman" w:hAnsi="Times New Roman" w:cs="Times New Roman"/>
                <w:b/>
                <w:bCs/>
                <w:sz w:val="18"/>
                <w:szCs w:val="18"/>
              </w:rPr>
              <w:t>Conclusion</w:t>
            </w:r>
            <w:r w:rsidRPr="00A83A4F">
              <w:rPr>
                <w:rFonts w:ascii="Times New Roman" w:hAnsi="Times New Roman" w:cs="Times New Roman"/>
                <w:sz w:val="18"/>
                <w:szCs w:val="18"/>
              </w:rPr>
              <w:t>. L’épilepsie multiplie par 2,5 le risque de troubles neurocognitifs, en particulier les formes multi‑domaines. L’âge avancé, la longue durée d’évolution, le faible niveau d’instruction et la polythérapie en sont les principaux facteurs associés. Le dépistage systématique des TNC devrait être intégré au suivi des patients épileptiques.</w:t>
            </w:r>
          </w:p>
          <w:p w14:paraId="6B5B95FB" w14:textId="4D244F3E" w:rsidR="00D506D1" w:rsidRPr="00AF2A5D" w:rsidRDefault="00D506D1" w:rsidP="00775224">
            <w:pPr>
              <w:spacing w:after="0" w:line="240" w:lineRule="auto"/>
              <w:ind w:left="0" w:firstLine="0"/>
              <w:jc w:val="both"/>
              <w:rPr>
                <w:rFonts w:ascii="Times New Roman" w:eastAsia="Calibri" w:hAnsi="Times New Roman" w:cs="Times New Roman"/>
                <w:color w:val="auto"/>
                <w:sz w:val="18"/>
                <w:szCs w:val="18"/>
                <w:lang w:eastAsia="en-US"/>
              </w:rPr>
            </w:pPr>
          </w:p>
        </w:tc>
      </w:tr>
      <w:tr w:rsidR="00D506D1" w:rsidRPr="00AF2A5D" w14:paraId="5035D5CB" w14:textId="77777777" w:rsidTr="00FD2D96">
        <w:trPr>
          <w:jc w:val="center"/>
        </w:trPr>
        <w:tc>
          <w:tcPr>
            <w:tcW w:w="2977" w:type="dxa"/>
            <w:vMerge w:val="restart"/>
            <w:shd w:val="clear" w:color="auto" w:fill="D3DFEE"/>
          </w:tcPr>
          <w:p w14:paraId="10F541E4" w14:textId="77777777" w:rsidR="00D506D1" w:rsidRPr="00AF2A5D" w:rsidRDefault="00D506D1" w:rsidP="00D506D1">
            <w:pPr>
              <w:spacing w:after="160" w:line="256" w:lineRule="auto"/>
              <w:ind w:left="0" w:firstLine="0"/>
              <w:rPr>
                <w:rFonts w:ascii="Calibri" w:eastAsia="DengXian" w:hAnsi="Calibri" w:cs="Times New Roman"/>
                <w:b/>
                <w:bCs/>
                <w:color w:val="365F91"/>
                <w:sz w:val="20"/>
                <w:szCs w:val="18"/>
                <w:vertAlign w:val="superscript"/>
              </w:rPr>
            </w:pPr>
          </w:p>
        </w:tc>
        <w:tc>
          <w:tcPr>
            <w:tcW w:w="7196" w:type="dxa"/>
            <w:shd w:val="clear" w:color="auto" w:fill="D3DFEE"/>
          </w:tcPr>
          <w:p w14:paraId="2BED7888" w14:textId="5C16B73C" w:rsidR="00D506D1" w:rsidRPr="00AF2A5D" w:rsidRDefault="00AA56D9" w:rsidP="00B54F71">
            <w:pPr>
              <w:spacing w:after="0" w:line="240" w:lineRule="auto"/>
              <w:ind w:left="0" w:firstLine="0"/>
              <w:jc w:val="both"/>
              <w:rPr>
                <w:rFonts w:ascii="Times New Roman" w:eastAsia="DengXian" w:hAnsi="Times New Roman" w:cs="Times New Roman"/>
                <w:b/>
                <w:bCs/>
                <w:iCs/>
                <w:color w:val="auto"/>
                <w:sz w:val="20"/>
                <w:szCs w:val="18"/>
              </w:rPr>
            </w:pPr>
            <w:r w:rsidRPr="00AF2A5D">
              <w:rPr>
                <w:rFonts w:ascii="Times New Roman" w:eastAsia="DengXian" w:hAnsi="Times New Roman" w:cs="Times New Roman"/>
                <w:b/>
                <w:bCs/>
                <w:iCs/>
                <w:color w:val="auto"/>
                <w:sz w:val="20"/>
                <w:szCs w:val="18"/>
              </w:rPr>
              <w:t>ABSTRACT</w:t>
            </w:r>
          </w:p>
        </w:tc>
      </w:tr>
      <w:tr w:rsidR="00D506D1" w:rsidRPr="00C95BFB" w14:paraId="75533AB9" w14:textId="77777777" w:rsidTr="004C1DFC">
        <w:trPr>
          <w:trHeight w:val="4127"/>
          <w:jc w:val="center"/>
        </w:trPr>
        <w:tc>
          <w:tcPr>
            <w:tcW w:w="2977" w:type="dxa"/>
            <w:vMerge/>
          </w:tcPr>
          <w:p w14:paraId="3C57A529" w14:textId="77777777" w:rsidR="00D506D1" w:rsidRPr="00AF2A5D" w:rsidRDefault="00D506D1" w:rsidP="00D506D1">
            <w:pPr>
              <w:spacing w:after="160" w:line="256" w:lineRule="auto"/>
              <w:ind w:left="0" w:firstLine="0"/>
              <w:rPr>
                <w:rFonts w:ascii="Calibri" w:eastAsia="DengXian" w:hAnsi="Calibri" w:cs="Times New Roman"/>
                <w:b/>
                <w:bCs/>
                <w:strike/>
                <w:color w:val="365F91"/>
                <w:sz w:val="20"/>
                <w:szCs w:val="18"/>
                <w:vertAlign w:val="superscript"/>
              </w:rPr>
            </w:pPr>
          </w:p>
        </w:tc>
        <w:tc>
          <w:tcPr>
            <w:tcW w:w="7196" w:type="dxa"/>
          </w:tcPr>
          <w:p w14:paraId="0189951D" w14:textId="77777777" w:rsidR="00E151FF" w:rsidRPr="00A83A4F" w:rsidRDefault="00E151FF" w:rsidP="00E151FF">
            <w:pPr>
              <w:spacing w:after="0" w:line="240" w:lineRule="auto"/>
              <w:jc w:val="both"/>
              <w:rPr>
                <w:rFonts w:ascii="Times New Roman" w:hAnsi="Times New Roman" w:cs="Times New Roman"/>
                <w:sz w:val="18"/>
                <w:szCs w:val="18"/>
                <w:lang w:val="en-US"/>
              </w:rPr>
            </w:pPr>
            <w:r w:rsidRPr="00A83A4F">
              <w:rPr>
                <w:rFonts w:ascii="Times New Roman" w:hAnsi="Times New Roman" w:cs="Times New Roman"/>
                <w:b/>
                <w:bCs/>
                <w:sz w:val="18"/>
                <w:szCs w:val="18"/>
                <w:lang w:val="en-US"/>
              </w:rPr>
              <w:t>Introduction</w:t>
            </w:r>
            <w:r w:rsidRPr="00A83A4F">
              <w:rPr>
                <w:rFonts w:ascii="Times New Roman" w:hAnsi="Times New Roman" w:cs="Times New Roman"/>
                <w:sz w:val="18"/>
                <w:szCs w:val="18"/>
                <w:lang w:val="en-US"/>
              </w:rPr>
              <w:t xml:space="preserve">. Neurocognitive disorders (NCD) are a major public health challenge in Africa, where data on their association with epilepsy remain limited. This study assessed neurocognitive functions and identified factors associated with their impairment in patients followed for epilepsy at the Neuro‑Psycho‑pathological Center of the University of Kinshasa (CNPP/Unikin).  </w:t>
            </w:r>
            <w:r w:rsidRPr="00A83A4F">
              <w:rPr>
                <w:rFonts w:ascii="Times New Roman" w:hAnsi="Times New Roman" w:cs="Times New Roman"/>
                <w:b/>
                <w:bCs/>
                <w:sz w:val="18"/>
                <w:szCs w:val="18"/>
                <w:lang w:val="en-US"/>
              </w:rPr>
              <w:t>Methods</w:t>
            </w:r>
            <w:r w:rsidRPr="00A83A4F">
              <w:rPr>
                <w:rFonts w:ascii="Times New Roman" w:hAnsi="Times New Roman" w:cs="Times New Roman"/>
                <w:sz w:val="18"/>
                <w:szCs w:val="18"/>
                <w:lang w:val="en-US"/>
              </w:rPr>
              <w:t xml:space="preserve">. A case‑control study included, from December 2007 to December 2021, epileptic patients (cases) and non‑epileptic subjects (controls) matched for age and sex. Epilepsy was diagnosed according to ILAE criteria. Neurocognitive functions were assessed using the Grober and Buschke test after screening with the Community Screening Interview for Dementia (CSI‑D). Logistic regression identified factors associated with NCD.  </w:t>
            </w:r>
            <w:r w:rsidRPr="00A83A4F">
              <w:rPr>
                <w:rFonts w:ascii="Times New Roman" w:hAnsi="Times New Roman" w:cs="Times New Roman"/>
                <w:b/>
                <w:bCs/>
                <w:sz w:val="18"/>
                <w:szCs w:val="18"/>
                <w:lang w:val="en-US"/>
              </w:rPr>
              <w:t>Results</w:t>
            </w:r>
            <w:r w:rsidRPr="00A83A4F">
              <w:rPr>
                <w:rFonts w:ascii="Times New Roman" w:hAnsi="Times New Roman" w:cs="Times New Roman"/>
                <w:sz w:val="18"/>
                <w:szCs w:val="18"/>
                <w:lang w:val="en-US"/>
              </w:rPr>
              <w:t xml:space="preserve">. Among 300 participants (150 cases, 150 controls), the prevalence of NCD was 55.3% in epileptic patients versus 31.3% in controls. Epilepsy was an independent risk factor (adjusted OR = 2.54; 95% CI: 1.49‑4.32). NCD were mainly mild (50.6%) and memory‑related (68.7%). In epileptic patients, factors associated with NCD were: age ≥ 55 years (OR = 3.46), disease duration &gt; 10 years (OR = 2.36), low education level (OR = 0.25, protective for high education), and polytherapy (≥ 2 antiepileptics, OR = 3.81). Multi‑domain NCD (amnestic or non‑amnestic) were strongly associated with epilepsy (OR = 2.47; 95% CI: 1.31‑4.76).  </w:t>
            </w:r>
            <w:r w:rsidRPr="00A83A4F">
              <w:rPr>
                <w:rFonts w:ascii="Times New Roman" w:hAnsi="Times New Roman" w:cs="Times New Roman"/>
                <w:b/>
                <w:bCs/>
                <w:sz w:val="18"/>
                <w:szCs w:val="18"/>
                <w:lang w:val="en-US"/>
              </w:rPr>
              <w:t>Conclusion</w:t>
            </w:r>
            <w:r w:rsidRPr="00A83A4F">
              <w:rPr>
                <w:rFonts w:ascii="Times New Roman" w:hAnsi="Times New Roman" w:cs="Times New Roman"/>
                <w:sz w:val="18"/>
                <w:szCs w:val="18"/>
                <w:lang w:val="en-US"/>
              </w:rPr>
              <w:t>. Epilepsy increases the risk of neurocognitive disorders 2.5‑fold, particularly multi‑domain forms. Advanced age, long disease duration, low education level, and polytherapy are the main associated factors. Systematic NCD screening should be integrated into the follow‑up of epileptic patients.</w:t>
            </w:r>
          </w:p>
          <w:p w14:paraId="0967FCA0" w14:textId="0DBF5E19" w:rsidR="00D506D1" w:rsidRPr="004C1DFC" w:rsidRDefault="00D506D1" w:rsidP="00775224">
            <w:pPr>
              <w:spacing w:after="0" w:line="240" w:lineRule="auto"/>
              <w:ind w:left="0" w:firstLine="0"/>
              <w:jc w:val="both"/>
              <w:rPr>
                <w:rFonts w:ascii="Times New Roman" w:eastAsia="Arial Unicode MS" w:hAnsi="Times New Roman" w:cs="Times New Roman"/>
                <w:sz w:val="18"/>
                <w:szCs w:val="18"/>
                <w:u w:color="000000"/>
                <w:lang w:val="en-US"/>
              </w:rPr>
            </w:pPr>
          </w:p>
        </w:tc>
      </w:tr>
    </w:tbl>
    <w:p w14:paraId="57B9AD39" w14:textId="60083B22" w:rsidR="00450743" w:rsidRPr="004C1DFC" w:rsidRDefault="00450743" w:rsidP="00D506D1">
      <w:pPr>
        <w:spacing w:before="120" w:after="40" w:line="240" w:lineRule="auto"/>
        <w:ind w:left="0" w:firstLine="0"/>
        <w:jc w:val="both"/>
        <w:rPr>
          <w:rFonts w:ascii="Times New Roman" w:eastAsia="DengXian" w:hAnsi="Times New Roman" w:cs="Times New Roman"/>
          <w:b/>
          <w:color w:val="auto"/>
          <w:sz w:val="20"/>
          <w:szCs w:val="20"/>
          <w:lang w:val="en-US"/>
        </w:rPr>
        <w:sectPr w:rsidR="00450743" w:rsidRPr="004C1DFC" w:rsidSect="00C95BFB">
          <w:headerReference w:type="default" r:id="rId11"/>
          <w:footerReference w:type="even" r:id="rId12"/>
          <w:footerReference w:type="default" r:id="rId13"/>
          <w:footerReference w:type="first" r:id="rId14"/>
          <w:pgSz w:w="11906" w:h="16838"/>
          <w:pgMar w:top="1134" w:right="851" w:bottom="1418" w:left="1134" w:header="720" w:footer="708" w:gutter="0"/>
          <w:pgNumType w:start="43"/>
          <w:cols w:space="720"/>
          <w:docGrid w:linePitch="326"/>
        </w:sectPr>
      </w:pPr>
    </w:p>
    <w:bookmarkEnd w:id="0"/>
    <w:bookmarkEnd w:id="1"/>
    <w:bookmarkEnd w:id="2"/>
    <w:p w14:paraId="722A531C" w14:textId="1D276EE6" w:rsidR="00775224" w:rsidRPr="00AF2A5D" w:rsidRDefault="004206B4" w:rsidP="00641077">
      <w:pPr>
        <w:spacing w:before="120" w:after="40" w:line="240" w:lineRule="auto"/>
        <w:ind w:left="0" w:firstLine="0"/>
        <w:jc w:val="both"/>
        <w:outlineLvl w:val="0"/>
        <w:rPr>
          <w:rFonts w:ascii="Times New Roman" w:eastAsia="DengXian" w:hAnsi="Times New Roman" w:cs="Times New Roman"/>
          <w:b/>
          <w:sz w:val="20"/>
          <w:szCs w:val="20"/>
        </w:rPr>
      </w:pPr>
      <w:r w:rsidRPr="00AF2A5D">
        <w:rPr>
          <w:rFonts w:ascii="Times New Roman" w:eastAsia="DengXian" w:hAnsi="Times New Roman" w:cs="Times New Roman"/>
          <w:b/>
          <w:noProof/>
          <w:color w:val="auto"/>
          <w:sz w:val="20"/>
          <w:szCs w:val="20"/>
        </w:rPr>
        <w:lastRenderedPageBreak/>
        <mc:AlternateContent>
          <mc:Choice Requires="wps">
            <w:drawing>
              <wp:inline distT="0" distB="0" distL="0" distR="0" wp14:anchorId="0CD631D1" wp14:editId="5A29F84E">
                <wp:extent cx="2914650" cy="4000500"/>
                <wp:effectExtent l="38100" t="38100" r="38100" b="38100"/>
                <wp:docPr id="11"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4000500"/>
                        </a:xfrm>
                        <a:prstGeom prst="rect">
                          <a:avLst/>
                        </a:prstGeom>
                        <a:solidFill>
                          <a:srgbClr val="E2F0D9"/>
                        </a:solidFill>
                        <a:ln>
                          <a:noFill/>
                        </a:ln>
                        <a:scene3d>
                          <a:camera prst="orthographicFront"/>
                          <a:lightRig rig="threePt" dir="t"/>
                        </a:scene3d>
                        <a:sp3d>
                          <a:bevelT w="114300" prst="hardEdge"/>
                        </a:sp3d>
                        <a:extLst>
                          <a:ext uri="{91240B29-F687-4F45-9708-019B960494DF}">
                            <a14:hiddenLine xmlns:a14="http://schemas.microsoft.com/office/drawing/2010/main" w="12700">
                              <a:solidFill>
                                <a:srgbClr val="385723"/>
                              </a:solidFill>
                              <a:miter lim="800000"/>
                              <a:headEnd/>
                              <a:tailEnd/>
                            </a14:hiddenLine>
                          </a:ext>
                        </a:extLst>
                      </wps:spPr>
                      <wps:txbx>
                        <w:txbxContent>
                          <w:p w14:paraId="587D54D8" w14:textId="77777777" w:rsidR="000F0701" w:rsidRPr="00AF2A5D" w:rsidRDefault="000F0701" w:rsidP="009F325D">
                            <w:pPr>
                              <w:spacing w:before="60" w:after="0" w:line="240" w:lineRule="auto"/>
                              <w:ind w:left="85" w:hanging="11"/>
                              <w:jc w:val="both"/>
                              <w:rPr>
                                <w:rFonts w:ascii="Times New Roman" w:eastAsia="DengXian" w:hAnsi="Times New Roman" w:cs="Times New Roman"/>
                                <w:b/>
                                <w:sz w:val="18"/>
                                <w:szCs w:val="20"/>
                              </w:rPr>
                            </w:pPr>
                            <w:r w:rsidRPr="00AF2A5D">
                              <w:rPr>
                                <w:rFonts w:ascii="Times New Roman" w:eastAsia="DengXian" w:hAnsi="Times New Roman" w:cs="Times New Roman"/>
                                <w:b/>
                                <w:sz w:val="18"/>
                                <w:szCs w:val="20"/>
                              </w:rPr>
                              <w:t>L’ESSENTIEL POUR LES LECTEURS PRESSÉS</w:t>
                            </w:r>
                          </w:p>
                          <w:p w14:paraId="5F1F43B9" w14:textId="27AE0725" w:rsidR="006D037B" w:rsidRPr="00A83A4F" w:rsidRDefault="006D037B" w:rsidP="006D037B">
                            <w:pPr>
                              <w:spacing w:after="0" w:line="240" w:lineRule="auto"/>
                              <w:jc w:val="both"/>
                              <w:rPr>
                                <w:rFonts w:ascii="Times New Roman" w:hAnsi="Times New Roman" w:cs="Times New Roman"/>
                                <w:sz w:val="18"/>
                                <w:szCs w:val="18"/>
                              </w:rPr>
                            </w:pPr>
                            <w:r w:rsidRPr="00A83A4F">
                              <w:rPr>
                                <w:rFonts w:ascii="Times New Roman" w:hAnsi="Times New Roman" w:cs="Times New Roman"/>
                                <w:b/>
                                <w:bCs/>
                                <w:sz w:val="18"/>
                                <w:szCs w:val="18"/>
                              </w:rPr>
                              <w:t>Ce qui est connu du sujet</w:t>
                            </w:r>
                            <w:r w:rsidRPr="00A83A4F">
                              <w:rPr>
                                <w:rFonts w:ascii="Times New Roman" w:hAnsi="Times New Roman" w:cs="Times New Roman"/>
                                <w:sz w:val="18"/>
                                <w:szCs w:val="18"/>
                              </w:rPr>
                              <w:t xml:space="preserve">. L’épilepsie est fréquente en Afrique subsaharienne, et les troubles neurocognitifs </w:t>
                            </w:r>
                            <w:r>
                              <w:rPr>
                                <w:rFonts w:ascii="Times New Roman" w:hAnsi="Times New Roman" w:cs="Times New Roman"/>
                                <w:sz w:val="18"/>
                                <w:szCs w:val="18"/>
                              </w:rPr>
                              <w:t xml:space="preserve">en </w:t>
                            </w:r>
                            <w:r w:rsidRPr="00A83A4F">
                              <w:rPr>
                                <w:rFonts w:ascii="Times New Roman" w:hAnsi="Times New Roman" w:cs="Times New Roman"/>
                                <w:sz w:val="18"/>
                                <w:szCs w:val="18"/>
                              </w:rPr>
                              <w:t xml:space="preserve">sont une complication reconnue. Peu d’études locales ont quantifié ce risque et identifié les facteurs associés dans un contexte à faibles ressources.  </w:t>
                            </w:r>
                          </w:p>
                          <w:p w14:paraId="4D75F2BD" w14:textId="77777777" w:rsidR="006D037B" w:rsidRPr="00A83A4F" w:rsidRDefault="006D037B" w:rsidP="006D037B">
                            <w:pPr>
                              <w:spacing w:after="0" w:line="240" w:lineRule="auto"/>
                              <w:jc w:val="both"/>
                              <w:rPr>
                                <w:rFonts w:ascii="Times New Roman" w:hAnsi="Times New Roman" w:cs="Times New Roman"/>
                                <w:sz w:val="18"/>
                                <w:szCs w:val="18"/>
                              </w:rPr>
                            </w:pPr>
                            <w:r w:rsidRPr="00A83A4F">
                              <w:rPr>
                                <w:rFonts w:ascii="Times New Roman" w:hAnsi="Times New Roman" w:cs="Times New Roman"/>
                                <w:b/>
                                <w:bCs/>
                                <w:sz w:val="18"/>
                                <w:szCs w:val="18"/>
                              </w:rPr>
                              <w:t>L’aspect du sujet abordé dans cette étude</w:t>
                            </w:r>
                            <w:r w:rsidRPr="00A83A4F">
                              <w:rPr>
                                <w:rFonts w:ascii="Times New Roman" w:hAnsi="Times New Roman" w:cs="Times New Roman"/>
                                <w:sz w:val="18"/>
                                <w:szCs w:val="18"/>
                              </w:rPr>
                              <w:t xml:space="preserve">. Cette étude cas‑témoin a comparé la prévalence des troubles neurocognitifs entre 150 patients épileptiques et 150 sujets non épileptiques suivis au CNPP/Unikin (Kinshasa) entre 2007 et 2021, et a recherché les facteurs de risque chez les épileptiques.  </w:t>
                            </w:r>
                          </w:p>
                          <w:p w14:paraId="40EE1108" w14:textId="77777777" w:rsidR="006D037B" w:rsidRPr="00A83A4F" w:rsidRDefault="006D037B" w:rsidP="006D037B">
                            <w:pPr>
                              <w:spacing w:after="0" w:line="240" w:lineRule="auto"/>
                              <w:jc w:val="both"/>
                              <w:rPr>
                                <w:rFonts w:ascii="Times New Roman" w:hAnsi="Times New Roman" w:cs="Times New Roman"/>
                                <w:sz w:val="18"/>
                                <w:szCs w:val="18"/>
                              </w:rPr>
                            </w:pPr>
                            <w:r w:rsidRPr="00A83A4F">
                              <w:rPr>
                                <w:rFonts w:ascii="Times New Roman" w:hAnsi="Times New Roman" w:cs="Times New Roman"/>
                                <w:b/>
                                <w:bCs/>
                                <w:sz w:val="18"/>
                                <w:szCs w:val="18"/>
                              </w:rPr>
                              <w:t>Ce que cette étude apporte de nouveau</w:t>
                            </w:r>
                            <w:r w:rsidRPr="00A83A4F">
                              <w:rPr>
                                <w:rFonts w:ascii="Times New Roman" w:hAnsi="Times New Roman" w:cs="Times New Roman"/>
                                <w:sz w:val="18"/>
                                <w:szCs w:val="18"/>
                              </w:rPr>
                              <w:t xml:space="preserve">. Plus d’un épileptique sur deux (55,3 %) présente un TNC, contre un tiers des témoins (31,3 %). L’épilepsie multiplie le risque par 2,54 après ajustement. Les TNC sont surtout légers (50,6 %) et mnésiques (68,7 %). Chez les épileptiques, les facteurs indépendants sont : l’âge ≥ 55 ans (OR = 3,46), une durée d’évolution &gt; 10 ans (OR = 2,36), un bas niveau d’instruction (OR = 0,25 pour le niveau élevé) et la polythérapie (OR = 3,81). Les TNC multi‑domaines sont particulièrement associés à l’épilepsie (OR = 2,47).  </w:t>
                            </w:r>
                          </w:p>
                          <w:p w14:paraId="0810279E" w14:textId="77777777" w:rsidR="006D037B" w:rsidRPr="00A83A4F" w:rsidRDefault="006D037B" w:rsidP="006D037B">
                            <w:pPr>
                              <w:spacing w:after="0" w:line="240" w:lineRule="auto"/>
                              <w:jc w:val="both"/>
                              <w:rPr>
                                <w:rFonts w:ascii="Times New Roman" w:hAnsi="Times New Roman" w:cs="Times New Roman"/>
                                <w:sz w:val="18"/>
                                <w:szCs w:val="18"/>
                              </w:rPr>
                            </w:pPr>
                            <w:r w:rsidRPr="00A83A4F">
                              <w:rPr>
                                <w:rFonts w:ascii="Times New Roman" w:hAnsi="Times New Roman" w:cs="Times New Roman"/>
                                <w:sz w:val="18"/>
                                <w:szCs w:val="18"/>
                              </w:rPr>
                              <w:t>L</w:t>
                            </w:r>
                            <w:r w:rsidRPr="00A83A4F">
                              <w:rPr>
                                <w:rFonts w:ascii="Times New Roman" w:hAnsi="Times New Roman" w:cs="Times New Roman"/>
                                <w:b/>
                                <w:bCs/>
                                <w:sz w:val="18"/>
                                <w:szCs w:val="18"/>
                              </w:rPr>
                              <w:t>es implications pour la pratique.</w:t>
                            </w:r>
                            <w:r w:rsidRPr="00A83A4F">
                              <w:rPr>
                                <w:rFonts w:ascii="Times New Roman" w:hAnsi="Times New Roman" w:cs="Times New Roman"/>
                                <w:sz w:val="18"/>
                                <w:szCs w:val="18"/>
                              </w:rPr>
                              <w:t xml:space="preserve"> Le dépistage systématique des troubles neurocognitifs, en particulier chez les épileptiques âgés, avec une longue durée de maladie ou sous polythérapie, doit être intégré aux soins de routine. La réduction du nombre d’antiépileptiques, quand possible, et l’amélioration de l’accès à l’éducation sont des leviers préventifs.</w:t>
                            </w:r>
                          </w:p>
                          <w:p w14:paraId="742C0022" w14:textId="48863154" w:rsidR="00AA56D9" w:rsidRPr="00AF2A5D" w:rsidRDefault="00AA56D9" w:rsidP="006D037B">
                            <w:pPr>
                              <w:spacing w:before="60" w:after="0" w:line="240" w:lineRule="auto"/>
                              <w:ind w:left="85" w:hanging="11"/>
                              <w:jc w:val="both"/>
                              <w:rPr>
                                <w:rFonts w:ascii="Times New Roman" w:eastAsia="DengXian" w:hAnsi="Times New Roman" w:cs="Times New Roman"/>
                                <w:bCs/>
                                <w:sz w:val="18"/>
                                <w:szCs w:val="20"/>
                              </w:rPr>
                            </w:pPr>
                          </w:p>
                        </w:txbxContent>
                      </wps:txbx>
                      <wps:bodyPr rot="0" vert="horz" wrap="square" lIns="91440" tIns="45720" rIns="91440" bIns="45720" anchor="t" anchorCtr="0" upright="1">
                        <a:noAutofit/>
                      </wps:bodyPr>
                    </wps:wsp>
                  </a:graphicData>
                </a:graphic>
              </wp:inline>
            </w:drawing>
          </mc:Choice>
          <mc:Fallback>
            <w:pict>
              <v:shape w14:anchorId="0CD631D1" id="Zone de texte 3" o:spid="_x0000_s1027" type="#_x0000_t202" style="width:229.5pt;height: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" fillcolor="#e2f0d9" stroked="f" strokecolor="#385723" strokeweight="1pt">
                <v:textbox>
                  <w:txbxContent>
                    <w:p w14:paraId="587D54D8" w14:textId="77777777" w:rsidR="000F0701" w:rsidRPr="00AF2A5D" w:rsidRDefault="000F0701" w:rsidP="009F325D">
                      <w:pPr>
                        <w:spacing w:before="60" w:after="0" w:line="240" w:lineRule="auto"/>
                        <w:ind w:left="85" w:hanging="11"/>
                        <w:jc w:val="both"/>
                        <w:rPr>
                          <w:rFonts w:ascii="Times New Roman" w:eastAsia="DengXian" w:hAnsi="Times New Roman" w:cs="Times New Roman"/>
                          <w:b/>
                          <w:sz w:val="18"/>
                          <w:szCs w:val="20"/>
                        </w:rPr>
                      </w:pPr>
                      <w:r w:rsidRPr="00AF2A5D">
                        <w:rPr>
                          <w:rFonts w:ascii="Times New Roman" w:eastAsia="DengXian" w:hAnsi="Times New Roman" w:cs="Times New Roman"/>
                          <w:b/>
                          <w:sz w:val="18"/>
                          <w:szCs w:val="20"/>
                        </w:rPr>
                        <w:t>L’ESSENTIEL POUR LES LECTEURS PRESSÉS</w:t>
                      </w:r>
                    </w:p>
                    <w:p w14:paraId="5F1F43B9" w14:textId="27AE0725" w:rsidR="006D037B" w:rsidRPr="00A83A4F" w:rsidRDefault="006D037B" w:rsidP="006D037B">
                      <w:pPr>
                        <w:spacing w:after="0" w:line="240" w:lineRule="auto"/>
                        <w:jc w:val="both"/>
                        <w:rPr>
                          <w:rFonts w:ascii="Times New Roman" w:hAnsi="Times New Roman" w:cs="Times New Roman"/>
                          <w:sz w:val="18"/>
                          <w:szCs w:val="18"/>
                        </w:rPr>
                      </w:pPr>
                      <w:r w:rsidRPr="00A83A4F">
                        <w:rPr>
                          <w:rFonts w:ascii="Times New Roman" w:hAnsi="Times New Roman" w:cs="Times New Roman"/>
                          <w:b/>
                          <w:bCs/>
                          <w:sz w:val="18"/>
                          <w:szCs w:val="18"/>
                        </w:rPr>
                        <w:t>Ce qui est connu du sujet</w:t>
                      </w:r>
                      <w:r w:rsidRPr="00A83A4F">
                        <w:rPr>
                          <w:rFonts w:ascii="Times New Roman" w:hAnsi="Times New Roman" w:cs="Times New Roman"/>
                          <w:sz w:val="18"/>
                          <w:szCs w:val="18"/>
                        </w:rPr>
                        <w:t xml:space="preserve">. L’épilepsie est fréquente en Afrique subsaharienne, et les troubles neurocognitifs </w:t>
                      </w:r>
                      <w:r>
                        <w:rPr>
                          <w:rFonts w:ascii="Times New Roman" w:hAnsi="Times New Roman" w:cs="Times New Roman"/>
                          <w:sz w:val="18"/>
                          <w:szCs w:val="18"/>
                        </w:rPr>
                        <w:t xml:space="preserve">en </w:t>
                      </w:r>
                      <w:r w:rsidRPr="00A83A4F">
                        <w:rPr>
                          <w:rFonts w:ascii="Times New Roman" w:hAnsi="Times New Roman" w:cs="Times New Roman"/>
                          <w:sz w:val="18"/>
                          <w:szCs w:val="18"/>
                        </w:rPr>
                        <w:t xml:space="preserve">sont une complication reconnue. Peu d’études locales ont quantifié ce risque et identifié les facteurs associés dans un contexte à faibles ressources.  </w:t>
                      </w:r>
                    </w:p>
                    <w:p w14:paraId="4D75F2BD" w14:textId="77777777" w:rsidR="006D037B" w:rsidRPr="00A83A4F" w:rsidRDefault="006D037B" w:rsidP="006D037B">
                      <w:pPr>
                        <w:spacing w:after="0" w:line="240" w:lineRule="auto"/>
                        <w:jc w:val="both"/>
                        <w:rPr>
                          <w:rFonts w:ascii="Times New Roman" w:hAnsi="Times New Roman" w:cs="Times New Roman"/>
                          <w:sz w:val="18"/>
                          <w:szCs w:val="18"/>
                        </w:rPr>
                      </w:pPr>
                      <w:r w:rsidRPr="00A83A4F">
                        <w:rPr>
                          <w:rFonts w:ascii="Times New Roman" w:hAnsi="Times New Roman" w:cs="Times New Roman"/>
                          <w:b/>
                          <w:bCs/>
                          <w:sz w:val="18"/>
                          <w:szCs w:val="18"/>
                        </w:rPr>
                        <w:t>L’aspect du sujet abordé dans cette étude</w:t>
                      </w:r>
                      <w:r w:rsidRPr="00A83A4F">
                        <w:rPr>
                          <w:rFonts w:ascii="Times New Roman" w:hAnsi="Times New Roman" w:cs="Times New Roman"/>
                          <w:sz w:val="18"/>
                          <w:szCs w:val="18"/>
                        </w:rPr>
                        <w:t xml:space="preserve">. Cette étude cas‑témoin a comparé la prévalence des troubles neurocognitifs entre 150 patients épileptiques et 150 sujets non épileptiques suivis au CNPP/Unikin (Kinshasa) entre 2007 et 2021, et a recherché les facteurs de risque chez les épileptiques.  </w:t>
                      </w:r>
                    </w:p>
                    <w:p w14:paraId="40EE1108" w14:textId="77777777" w:rsidR="006D037B" w:rsidRPr="00A83A4F" w:rsidRDefault="006D037B" w:rsidP="006D037B">
                      <w:pPr>
                        <w:spacing w:after="0" w:line="240" w:lineRule="auto"/>
                        <w:jc w:val="both"/>
                        <w:rPr>
                          <w:rFonts w:ascii="Times New Roman" w:hAnsi="Times New Roman" w:cs="Times New Roman"/>
                          <w:sz w:val="18"/>
                          <w:szCs w:val="18"/>
                        </w:rPr>
                      </w:pPr>
                      <w:r w:rsidRPr="00A83A4F">
                        <w:rPr>
                          <w:rFonts w:ascii="Times New Roman" w:hAnsi="Times New Roman" w:cs="Times New Roman"/>
                          <w:b/>
                          <w:bCs/>
                          <w:sz w:val="18"/>
                          <w:szCs w:val="18"/>
                        </w:rPr>
                        <w:t>Ce que cette étude apporte de nouveau</w:t>
                      </w:r>
                      <w:r w:rsidRPr="00A83A4F">
                        <w:rPr>
                          <w:rFonts w:ascii="Times New Roman" w:hAnsi="Times New Roman" w:cs="Times New Roman"/>
                          <w:sz w:val="18"/>
                          <w:szCs w:val="18"/>
                        </w:rPr>
                        <w:t xml:space="preserve">. Plus d’un épileptique sur deux (55,3 %) présente un TNC, contre un tiers des témoins (31,3 %). L’épilepsie multiplie le risque par 2,54 après ajustement. Les TNC sont surtout légers (50,6 %) et mnésiques (68,7 %). Chez les épileptiques, les facteurs indépendants sont : l’âge ≥ 55 ans (OR = 3,46), une durée d’évolution &gt; 10 ans (OR = 2,36), un bas niveau d’instruction (OR = 0,25 pour le niveau élevé) et la polythérapie (OR = 3,81). Les TNC multi‑domaines sont particulièrement associés à l’épilepsie (OR = 2,47).  </w:t>
                      </w:r>
                    </w:p>
                    <w:p w14:paraId="0810279E" w14:textId="77777777" w:rsidR="006D037B" w:rsidRPr="00A83A4F" w:rsidRDefault="006D037B" w:rsidP="006D037B">
                      <w:pPr>
                        <w:spacing w:after="0" w:line="240" w:lineRule="auto"/>
                        <w:jc w:val="both"/>
                        <w:rPr>
                          <w:rFonts w:ascii="Times New Roman" w:hAnsi="Times New Roman" w:cs="Times New Roman"/>
                          <w:sz w:val="18"/>
                          <w:szCs w:val="18"/>
                        </w:rPr>
                      </w:pPr>
                      <w:r w:rsidRPr="00A83A4F">
                        <w:rPr>
                          <w:rFonts w:ascii="Times New Roman" w:hAnsi="Times New Roman" w:cs="Times New Roman"/>
                          <w:sz w:val="18"/>
                          <w:szCs w:val="18"/>
                        </w:rPr>
                        <w:t>L</w:t>
                      </w:r>
                      <w:r w:rsidRPr="00A83A4F">
                        <w:rPr>
                          <w:rFonts w:ascii="Times New Roman" w:hAnsi="Times New Roman" w:cs="Times New Roman"/>
                          <w:b/>
                          <w:bCs/>
                          <w:sz w:val="18"/>
                          <w:szCs w:val="18"/>
                        </w:rPr>
                        <w:t>es implications pour la pratique.</w:t>
                      </w:r>
                      <w:r w:rsidRPr="00A83A4F">
                        <w:rPr>
                          <w:rFonts w:ascii="Times New Roman" w:hAnsi="Times New Roman" w:cs="Times New Roman"/>
                          <w:sz w:val="18"/>
                          <w:szCs w:val="18"/>
                        </w:rPr>
                        <w:t xml:space="preserve"> Le dépistage systématique des troubles neurocognitifs, en particulier chez les épileptiques âgés, avec une longue durée de maladie ou sous polythérapie, doit être intégré aux soins de routine. La réduction du nombre d’antiépileptiques, quand possible, et l’amélioration de l’accès à l’éducation sont des leviers préventifs.</w:t>
                      </w:r>
                    </w:p>
                    <w:p w14:paraId="742C0022" w14:textId="48863154" w:rsidR="00AA56D9" w:rsidRPr="00AF2A5D" w:rsidRDefault="00AA56D9" w:rsidP="006D037B">
                      <w:pPr>
                        <w:spacing w:before="60" w:after="0" w:line="240" w:lineRule="auto"/>
                        <w:ind w:left="85" w:hanging="11"/>
                        <w:jc w:val="both"/>
                        <w:rPr>
                          <w:rFonts w:ascii="Times New Roman" w:eastAsia="DengXian" w:hAnsi="Times New Roman" w:cs="Times New Roman"/>
                          <w:bCs/>
                          <w:sz w:val="18"/>
                          <w:szCs w:val="20"/>
                        </w:rPr>
                      </w:pPr>
                    </w:p>
                  </w:txbxContent>
                </v:textbox>
                <w10:anchorlock/>
              </v:shape>
            </w:pict>
          </mc:Fallback>
        </mc:AlternateContent>
      </w:r>
    </w:p>
    <w:p w14:paraId="3305F839" w14:textId="261DD263" w:rsidR="00E0076E" w:rsidRPr="00E0076E" w:rsidRDefault="00E0076E" w:rsidP="00E0076E">
      <w:pPr>
        <w:spacing w:before="120" w:after="40" w:line="240" w:lineRule="auto"/>
        <w:ind w:left="0" w:firstLine="0"/>
        <w:jc w:val="both"/>
        <w:outlineLvl w:val="0"/>
        <w:rPr>
          <w:rFonts w:ascii="Times New Roman" w:eastAsia="DengXian" w:hAnsi="Times New Roman" w:cs="Times New Roman"/>
          <w:b/>
          <w:sz w:val="20"/>
          <w:szCs w:val="20"/>
        </w:rPr>
      </w:pPr>
      <w:r w:rsidRPr="00E0076E">
        <w:rPr>
          <w:rFonts w:ascii="Times New Roman" w:eastAsia="DengXian" w:hAnsi="Times New Roman" w:cs="Times New Roman"/>
          <w:b/>
          <w:sz w:val="20"/>
          <w:szCs w:val="20"/>
        </w:rPr>
        <w:t>INTRODUCTION</w:t>
      </w:r>
    </w:p>
    <w:p w14:paraId="07106F70" w14:textId="77777777" w:rsidR="00E0076E" w:rsidRPr="00E0076E" w:rsidRDefault="00E0076E" w:rsidP="00E0076E">
      <w:pPr>
        <w:spacing w:after="0" w:line="240" w:lineRule="auto"/>
        <w:ind w:left="0" w:firstLine="0"/>
        <w:jc w:val="both"/>
        <w:outlineLvl w:val="0"/>
        <w:rPr>
          <w:rFonts w:ascii="Times New Roman" w:eastAsia="DengXian" w:hAnsi="Times New Roman" w:cs="Times New Roman"/>
          <w:bCs/>
          <w:sz w:val="20"/>
          <w:szCs w:val="20"/>
        </w:rPr>
      </w:pPr>
      <w:r w:rsidRPr="00E0076E">
        <w:rPr>
          <w:rFonts w:ascii="Times New Roman" w:eastAsia="DengXian" w:hAnsi="Times New Roman" w:cs="Times New Roman"/>
          <w:bCs/>
          <w:sz w:val="20"/>
          <w:szCs w:val="20"/>
        </w:rPr>
        <w:t xml:space="preserve">Les fonctions neurocognitives englobent l’ensemble de processus cérébraux qui permettent d’acquérir, de conserver et de traiter des connaissances. Ces capacités cérébrales permettent d’effectuer des opérations mentales. Parmi ces processus figurent, entre autres, l'attention, la mémoire, le langage, la praxie, l'orientation dans le temps et l'espace, la gnosie et les fonctions exécutives telles que l'esprit d'initiative, la planification, l'inhibition et la flexibilité [1]. L’altération de ces fonctions pose un problème de santé publique dans le monde et surtout en Afrique. Selon les prévisions de l'OMS, le nombre de personnes atteintes de troubles neurocognitifs (TNC) devrait augmenter considérablement entre 2013 et 2050, en particulier dans les pays les moins développés, notamment en Afrique sub-saharienne (ASS) [2]. L´épilepsie est une pathologie cérébrale caractérisée par une prédisposition persistante à générer des crises. Elle a des conséquences psychologiques, sociales, neurologiques et neurocognitives. Elle joue un rôle majeur dans la charge de morbidité mondiale, touchant près de 50 millions de personnes à travers le monde [2]. Environ 80% des personnes atteintes d´épilepsie vivent dans les pays en voie de développement, notamment de l’ASS [4], Le nombre de nouveaux cas d'épilepsie dans cette partie de l’Afrique est en augmentation, variant entre 64 et 156 pour 100 000 personnes par an [4]. L’ASS a aussi des taux de prévalence de l’épilepsie très élevés allant de 2,2 à 58 pour 1000 personnes [5]. L’association entre les troubles des fonctions cérébrales et l’épilepsie est de plus en plus étudiée. Plusieurs auteurs ont montré que les TNC sont de plus en plus fréquents chez l’épileptique et ces troubles </w:t>
      </w:r>
      <w:r w:rsidRPr="00E0076E">
        <w:rPr>
          <w:rFonts w:ascii="Times New Roman" w:eastAsia="DengXian" w:hAnsi="Times New Roman" w:cs="Times New Roman"/>
          <w:bCs/>
          <w:sz w:val="20"/>
          <w:szCs w:val="20"/>
        </w:rPr>
        <w:t>peuvent être secondaires ou co-morbides à l’épilepsie [3,6]. En ASS, le TNC, comme l’épilepsie, représente un problème majeur de santé publique. La prévalence de TNC chez les épileptiques comme l’’incidence ou la prévalence exacte des épilepsies ou de ces troubles ne sont pas connues dans la ville de Kinshasa ni dans toute la République Démocratique du Congo. Cette situation est, entre autres, due à une carence évidente d’études épidémio-cliniques. L’identification et la prise en charge des TNC chez l’épileptique a cependant, toute son importance en raison non seulement de leur mauvaise conséquence en termes d’observance thérapeutique, mais aussi et surtout de leur impact négatif sur la prise en charge globale et le rendement socioprofessionnel du sujet épileptique. Les TNC peuvent avoir des répercussions quotidiennes dans la vie socio-professionnelle des adultes, comme dans la scolarité des plus jeunes et se répercutent sur leur qualité de vie. Il est important de bien les étudier et les comprendre.  L’objectif de cette étude était d’évaluer les fonctions neurocognitives et identifier les facteurs associés aux troubles de ces fonctions chez les sujets épileptiques admis au Centre Neuro-Psycho-pathologique de l’Université de Kinshasa (CNPP/Unikin) en RD Congo.</w:t>
      </w:r>
    </w:p>
    <w:p w14:paraId="1C8FCF2A" w14:textId="484C9BAB" w:rsidR="00E0076E" w:rsidRPr="00E0076E" w:rsidRDefault="00E0076E" w:rsidP="00E0076E">
      <w:pPr>
        <w:spacing w:before="120" w:after="40" w:line="240" w:lineRule="auto"/>
        <w:ind w:left="0" w:firstLine="0"/>
        <w:jc w:val="both"/>
        <w:outlineLvl w:val="0"/>
        <w:rPr>
          <w:rFonts w:ascii="Times New Roman" w:eastAsia="DengXian" w:hAnsi="Times New Roman" w:cs="Times New Roman"/>
          <w:b/>
          <w:sz w:val="20"/>
          <w:szCs w:val="20"/>
        </w:rPr>
      </w:pPr>
      <w:r w:rsidRPr="00E0076E">
        <w:rPr>
          <w:rFonts w:ascii="Times New Roman" w:eastAsia="DengXian" w:hAnsi="Times New Roman" w:cs="Times New Roman"/>
          <w:b/>
          <w:sz w:val="20"/>
          <w:szCs w:val="20"/>
        </w:rPr>
        <w:t xml:space="preserve">MÉTHODOLOGIE </w:t>
      </w:r>
    </w:p>
    <w:p w14:paraId="540B4FEE" w14:textId="77777777" w:rsidR="00E0076E" w:rsidRPr="00E0076E" w:rsidRDefault="00E0076E" w:rsidP="00E0076E">
      <w:pPr>
        <w:spacing w:after="0" w:line="240" w:lineRule="auto"/>
        <w:ind w:left="0" w:firstLine="0"/>
        <w:jc w:val="both"/>
        <w:outlineLvl w:val="0"/>
        <w:rPr>
          <w:rFonts w:ascii="Times New Roman" w:eastAsia="DengXian" w:hAnsi="Times New Roman" w:cs="Times New Roman"/>
          <w:bCs/>
          <w:sz w:val="20"/>
          <w:szCs w:val="20"/>
        </w:rPr>
      </w:pPr>
      <w:r w:rsidRPr="00E0076E">
        <w:rPr>
          <w:rFonts w:ascii="Times New Roman" w:eastAsia="DengXian" w:hAnsi="Times New Roman" w:cs="Times New Roman"/>
          <w:bCs/>
          <w:sz w:val="20"/>
          <w:szCs w:val="20"/>
        </w:rPr>
        <w:t>Une étude cas-témoin a été réalisée, de décembre 2007 à décembre 2021, dans le service de consultations externes au département de neurologie du CNPP/Unikin. Quant aux participants, les cas comme les témoins ont été âgés d’au moins 18 ans et consentants. Les cas étaient des patients épileptiques. Les témoins étaient des sujets non épileptiques choisis, sans aucun appariement, parmi les accompagnateurs des patients épileptiques. Les cas comme les témoins ayant un handicap sensoriel sévère, un délire ou une dépression n’ont pas été inclus. Les variables d’intérêt étaient épidémiologiques, cliniques et paracliniques. L’épilepsie a été diagnostiquée selon les critères de l’ILAE (Lingue Internationale contre l’Epilepsie) et classée, selon l’âge du patient lors de la crise inaugurale de l’épilepsie, en épilepsie de l’enfance (≤ 18 ans) et épilepsie de l’âge adulte (&gt;18 ans). L’évaluation des fonctions neurocognitives a été réalisée à partir du test de Grober et Buschke ou RL/RI-16, après un dépistage à l’aide du community screening interview for dementia (CSI-D). La dépression a été évaluée à l'aide de l'outil d'inventaire de la dépression de Golberg ayant 18 items. Les données ont été saisies à l’aide du logiciel Excel 2010 et analysées avec le logiciel SPSS 21.0. Une valeur de p = 0,05 a été choisie comme seuil de signification pour toutes les analyses statistiques. Les modèles de régression logistique ont permis d’identifier les facteurs associés au développement des TNC. Seuls les facteurs ayant des valeurs de p &lt; 0,20 ont été retenus pour l’analyse multivariée.</w:t>
      </w:r>
    </w:p>
    <w:p w14:paraId="510636DA" w14:textId="4846AD2A" w:rsidR="00E0076E" w:rsidRPr="00E0076E" w:rsidRDefault="00E0076E" w:rsidP="00E0076E">
      <w:pPr>
        <w:spacing w:before="120" w:after="40" w:line="240" w:lineRule="auto"/>
        <w:ind w:left="0" w:firstLine="0"/>
        <w:jc w:val="both"/>
        <w:outlineLvl w:val="0"/>
        <w:rPr>
          <w:rFonts w:ascii="Times New Roman" w:eastAsia="DengXian" w:hAnsi="Times New Roman" w:cs="Times New Roman"/>
          <w:b/>
          <w:sz w:val="20"/>
          <w:szCs w:val="20"/>
        </w:rPr>
      </w:pPr>
      <w:r w:rsidRPr="00E0076E">
        <w:rPr>
          <w:rFonts w:ascii="Times New Roman" w:eastAsia="DengXian" w:hAnsi="Times New Roman" w:cs="Times New Roman"/>
          <w:b/>
          <w:sz w:val="20"/>
          <w:szCs w:val="20"/>
        </w:rPr>
        <w:t xml:space="preserve">RÉSULTATS </w:t>
      </w:r>
    </w:p>
    <w:p w14:paraId="04FBB2A0" w14:textId="77777777" w:rsidR="00E57AFD" w:rsidRDefault="00E0076E" w:rsidP="00E0076E">
      <w:pPr>
        <w:spacing w:after="0" w:line="240" w:lineRule="auto"/>
        <w:ind w:left="0" w:firstLine="0"/>
        <w:jc w:val="both"/>
        <w:outlineLvl w:val="0"/>
        <w:rPr>
          <w:rFonts w:ascii="Times New Roman" w:eastAsia="DengXian" w:hAnsi="Times New Roman" w:cs="Times New Roman"/>
          <w:bCs/>
          <w:sz w:val="20"/>
          <w:szCs w:val="20"/>
        </w:rPr>
        <w:sectPr w:rsidR="00E57AFD" w:rsidSect="00FD0359">
          <w:type w:val="continuous"/>
          <w:pgSz w:w="11906" w:h="16838"/>
          <w:pgMar w:top="1134" w:right="851" w:bottom="1418" w:left="1134" w:header="720" w:footer="708" w:gutter="0"/>
          <w:cols w:num="2" w:space="720"/>
          <w:docGrid w:linePitch="326"/>
        </w:sectPr>
      </w:pPr>
      <w:r w:rsidRPr="00E0076E">
        <w:rPr>
          <w:rFonts w:ascii="Times New Roman" w:eastAsia="DengXian" w:hAnsi="Times New Roman" w:cs="Times New Roman"/>
          <w:bCs/>
          <w:sz w:val="20"/>
          <w:szCs w:val="20"/>
        </w:rPr>
        <w:t xml:space="preserve">Cent-cinquante cas et 150 témoins ont été inclus. La fréquence globale des TNC était de 55,3% (n=83) chez les cas et 31,3% (n=47) chez les témoins. Les cas étaient âgés de 18 à 75 ans avec un âge moyen de 48,25 ± 7,45 ans et </w:t>
      </w:r>
      <w:r w:rsidRPr="00E0076E">
        <w:rPr>
          <w:rFonts w:ascii="Times New Roman" w:eastAsia="DengXian" w:hAnsi="Times New Roman" w:cs="Times New Roman"/>
          <w:bCs/>
          <w:sz w:val="20"/>
          <w:szCs w:val="20"/>
        </w:rPr>
        <w:lastRenderedPageBreak/>
        <w:t xml:space="preserve">les témoins étaient âgés de 19 à 78 ans avec un âge moyen de 56,48 ± 9,48 ans. L'âge moyen des patients atteints de TNC était de 48,02 ± 5,00 ans pour les cas et de 66,44 ± 11,76 ans pour les témoins. Concernant le sexe, 87 femmes (58%) et 63 hommes (42%) étaient épileptiques; le sex ratio (H/F) était de 0,72. Quarante-huit femmes épileptiques (57,8 %) et 35 hommes épileptiques (42,2%) présentaient des TNC; soit un sex ratio (H/F) de 0,73. Chez les non épileptiques, 75 (50%) ont été de sexe féminin et 75 (50%) de sexe masculin; 29 (61,7%) sujets </w:t>
      </w:r>
      <w:r w:rsidRPr="00E0076E">
        <w:rPr>
          <w:rFonts w:ascii="Times New Roman" w:eastAsia="DengXian" w:hAnsi="Times New Roman" w:cs="Times New Roman"/>
          <w:bCs/>
          <w:sz w:val="20"/>
          <w:szCs w:val="20"/>
        </w:rPr>
        <w:t>de sexe féminin et 18 (38,3%) de sexe masculin avaient des TNC, soit un sex ratio (H/F) de 0,62. Dans le groupe des cas, la durée moyenne de l’évolution de l’épilepsie était de 15,12 ± 6,43 ans [extrêmes 2 mois et 45 ans]. La fréquence de TNC était directement proportionnelle à la durée de l’épilepsie. Les TNC étaient en proportion élevée chez les patients épileptiques qui avaient une épilepsie évoluant entre 41 et 50 ans et faible pour une durée de l’épilepsie ≤ 10 ans (Figure 1).</w:t>
      </w:r>
    </w:p>
    <w:p w14:paraId="7673176B" w14:textId="77777777" w:rsidR="00E0076E" w:rsidRPr="00E0076E" w:rsidRDefault="00E0076E" w:rsidP="00E0076E">
      <w:pPr>
        <w:spacing w:after="0" w:line="240" w:lineRule="auto"/>
        <w:ind w:left="0" w:firstLine="0"/>
        <w:jc w:val="both"/>
        <w:outlineLvl w:val="0"/>
        <w:rPr>
          <w:rFonts w:ascii="Times New Roman" w:eastAsia="DengXian" w:hAnsi="Times New Roman" w:cs="Times New Roman"/>
          <w:bCs/>
          <w:sz w:val="20"/>
          <w:szCs w:val="20"/>
        </w:rPr>
      </w:pPr>
    </w:p>
    <w:p w14:paraId="385655FD" w14:textId="77777777" w:rsidR="00E0076E" w:rsidRDefault="00E0076E" w:rsidP="00E0076E">
      <w:pPr>
        <w:spacing w:after="0" w:line="240" w:lineRule="auto"/>
        <w:ind w:left="0" w:firstLine="0"/>
        <w:jc w:val="both"/>
        <w:outlineLvl w:val="0"/>
        <w:rPr>
          <w:rFonts w:ascii="Times New Roman" w:eastAsia="DengXian" w:hAnsi="Times New Roman" w:cs="Times New Roman"/>
          <w:bCs/>
          <w:sz w:val="20"/>
          <w:szCs w:val="20"/>
        </w:rPr>
      </w:pPr>
    </w:p>
    <w:p w14:paraId="1E09AAF4" w14:textId="77777777" w:rsidR="00E57AFD" w:rsidRDefault="00E57AFD" w:rsidP="00E0076E">
      <w:pPr>
        <w:spacing w:after="0" w:line="240" w:lineRule="auto"/>
        <w:ind w:left="0" w:firstLine="0"/>
        <w:jc w:val="both"/>
        <w:outlineLvl w:val="0"/>
        <w:rPr>
          <w:rFonts w:ascii="Times New Roman" w:eastAsia="DengXian" w:hAnsi="Times New Roman" w:cs="Times New Roman"/>
          <w:bCs/>
          <w:sz w:val="20"/>
          <w:szCs w:val="20"/>
        </w:rPr>
        <w:sectPr w:rsidR="00E57AFD" w:rsidSect="00FD0359">
          <w:type w:val="continuous"/>
          <w:pgSz w:w="11906" w:h="16838"/>
          <w:pgMar w:top="1134" w:right="851" w:bottom="1418" w:left="1134" w:header="720" w:footer="708" w:gutter="0"/>
          <w:cols w:num="2" w:space="720"/>
          <w:docGrid w:linePitch="326"/>
        </w:sectPr>
      </w:pP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31"/>
      </w:tblGrid>
      <w:tr w:rsidR="00E0076E" w14:paraId="7B6A0837" w14:textId="77777777" w:rsidTr="00E57AFD">
        <w:trPr>
          <w:jc w:val="center"/>
        </w:trPr>
        <w:tc>
          <w:tcPr>
            <w:tcW w:w="4590" w:type="dxa"/>
          </w:tcPr>
          <w:p w14:paraId="0686C617" w14:textId="45DD649B" w:rsidR="00E0076E" w:rsidRDefault="00E0076E" w:rsidP="00E0076E">
            <w:pPr>
              <w:spacing w:after="0" w:line="240" w:lineRule="auto"/>
              <w:ind w:left="0" w:firstLine="0"/>
              <w:jc w:val="both"/>
              <w:outlineLvl w:val="0"/>
              <w:rPr>
                <w:rFonts w:ascii="Times New Roman" w:eastAsia="DengXian" w:hAnsi="Times New Roman" w:cs="Times New Roman"/>
                <w:bCs/>
                <w:sz w:val="20"/>
                <w:szCs w:val="20"/>
              </w:rPr>
            </w:pPr>
            <w:r>
              <w:rPr>
                <w:rFonts w:ascii="Times New Roman" w:eastAsia="DengXian" w:hAnsi="Times New Roman" w:cs="Times New Roman"/>
                <w:bCs/>
                <w:noProof/>
                <w:sz w:val="20"/>
                <w:szCs w:val="20"/>
              </w:rPr>
              <w:drawing>
                <wp:inline distT="0" distB="0" distL="0" distR="0" wp14:anchorId="3DA31392" wp14:editId="426A5996">
                  <wp:extent cx="4200525" cy="2524969"/>
                  <wp:effectExtent l="0" t="0" r="0" b="8890"/>
                  <wp:docPr id="1206022036"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15374" cy="2533895"/>
                          </a:xfrm>
                          <a:prstGeom prst="rect">
                            <a:avLst/>
                          </a:prstGeom>
                          <a:noFill/>
                        </pic:spPr>
                      </pic:pic>
                    </a:graphicData>
                  </a:graphic>
                </wp:inline>
              </w:drawing>
            </w:r>
          </w:p>
        </w:tc>
      </w:tr>
      <w:tr w:rsidR="00E0076E" w14:paraId="3D0B4322" w14:textId="77777777" w:rsidTr="00E57AFD">
        <w:trPr>
          <w:jc w:val="center"/>
        </w:trPr>
        <w:tc>
          <w:tcPr>
            <w:tcW w:w="4590" w:type="dxa"/>
          </w:tcPr>
          <w:p w14:paraId="2DCA1819" w14:textId="1B634A70" w:rsidR="00E0076E" w:rsidRPr="00E57AFD" w:rsidRDefault="00E0076E" w:rsidP="00E57AFD">
            <w:pPr>
              <w:spacing w:after="0" w:line="240" w:lineRule="auto"/>
              <w:ind w:left="0" w:firstLine="0"/>
              <w:jc w:val="center"/>
              <w:outlineLvl w:val="0"/>
              <w:rPr>
                <w:rFonts w:ascii="Times New Roman" w:eastAsia="DengXian" w:hAnsi="Times New Roman" w:cs="Times New Roman"/>
                <w:b/>
                <w:sz w:val="16"/>
                <w:szCs w:val="16"/>
              </w:rPr>
            </w:pPr>
            <w:r w:rsidRPr="00E57AFD">
              <w:rPr>
                <w:rFonts w:ascii="Times New Roman" w:eastAsia="DengXian" w:hAnsi="Times New Roman" w:cs="Times New Roman"/>
                <w:b/>
                <w:sz w:val="16"/>
                <w:szCs w:val="16"/>
              </w:rPr>
              <w:t>Figure 1 : Fréquence des troubles neurocognitifs en fonction de l’ancienneté de l’épilepsie</w:t>
            </w:r>
          </w:p>
        </w:tc>
      </w:tr>
    </w:tbl>
    <w:p w14:paraId="73F02030" w14:textId="77777777" w:rsidR="00E57AFD" w:rsidRDefault="00E57AFD" w:rsidP="00E0076E">
      <w:pPr>
        <w:spacing w:after="0" w:line="240" w:lineRule="auto"/>
        <w:ind w:left="0" w:firstLine="0"/>
        <w:jc w:val="both"/>
        <w:outlineLvl w:val="0"/>
        <w:rPr>
          <w:rFonts w:ascii="Times New Roman" w:eastAsia="DengXian" w:hAnsi="Times New Roman" w:cs="Times New Roman"/>
          <w:bCs/>
          <w:sz w:val="20"/>
          <w:szCs w:val="20"/>
        </w:rPr>
        <w:sectPr w:rsidR="00E57AFD" w:rsidSect="00E57AFD">
          <w:type w:val="continuous"/>
          <w:pgSz w:w="11906" w:h="16838"/>
          <w:pgMar w:top="1134" w:right="851" w:bottom="1418" w:left="1134" w:header="720" w:footer="708" w:gutter="0"/>
          <w:cols w:space="720"/>
          <w:docGrid w:linePitch="326"/>
        </w:sectPr>
      </w:pPr>
    </w:p>
    <w:p w14:paraId="4FF08BBE" w14:textId="47006384" w:rsidR="00E0076E" w:rsidRPr="00E0076E" w:rsidRDefault="00E0076E" w:rsidP="00E0076E">
      <w:pPr>
        <w:spacing w:after="0" w:line="240" w:lineRule="auto"/>
        <w:ind w:left="0" w:firstLine="0"/>
        <w:jc w:val="both"/>
        <w:outlineLvl w:val="0"/>
        <w:rPr>
          <w:rFonts w:ascii="Times New Roman" w:eastAsia="DengXian" w:hAnsi="Times New Roman" w:cs="Times New Roman"/>
          <w:bCs/>
          <w:sz w:val="20"/>
          <w:szCs w:val="20"/>
        </w:rPr>
      </w:pPr>
      <w:r w:rsidRPr="00E0076E">
        <w:rPr>
          <w:rFonts w:ascii="Times New Roman" w:eastAsia="DengXian" w:hAnsi="Times New Roman" w:cs="Times New Roman"/>
          <w:bCs/>
          <w:sz w:val="20"/>
          <w:szCs w:val="20"/>
        </w:rPr>
        <w:t>Concernant les types étiologiques de l’épilepsie, 89 (59,3%) et 61(40,7%) cas avaient respectivement l’épilepsie non structurelle ou non lésionnelle (ENS) et épilepsie structurelle ou lésionnelle (ES). Vingt-huit cas avec ENS (33,7%) et 55 cas avec ES (66,3%) présentaient des TNC ; soit un ratio (ENS/ES) de 0,5.</w:t>
      </w:r>
    </w:p>
    <w:p w14:paraId="0A444D4D" w14:textId="77777777" w:rsidR="00E57AFD" w:rsidRDefault="00E0076E" w:rsidP="00E0076E">
      <w:pPr>
        <w:spacing w:after="0" w:line="240" w:lineRule="auto"/>
        <w:ind w:left="0" w:firstLine="0"/>
        <w:jc w:val="both"/>
        <w:outlineLvl w:val="0"/>
        <w:rPr>
          <w:rFonts w:ascii="Times New Roman" w:eastAsia="DengXian" w:hAnsi="Times New Roman" w:cs="Times New Roman"/>
          <w:bCs/>
          <w:sz w:val="20"/>
          <w:szCs w:val="20"/>
        </w:rPr>
        <w:sectPr w:rsidR="00E57AFD" w:rsidSect="00FD0359">
          <w:type w:val="continuous"/>
          <w:pgSz w:w="11906" w:h="16838"/>
          <w:pgMar w:top="1134" w:right="851" w:bottom="1418" w:left="1134" w:header="720" w:footer="708" w:gutter="0"/>
          <w:cols w:num="2" w:space="720"/>
          <w:docGrid w:linePitch="326"/>
        </w:sectPr>
      </w:pPr>
      <w:r w:rsidRPr="00E0076E">
        <w:rPr>
          <w:rFonts w:ascii="Times New Roman" w:eastAsia="DengXian" w:hAnsi="Times New Roman" w:cs="Times New Roman"/>
          <w:bCs/>
          <w:sz w:val="20"/>
          <w:szCs w:val="20"/>
        </w:rPr>
        <w:t>Chez les cas, Il a été noté une fréquence de 4,7% de TNC majeur ; 50,6% de TNC léger ou MCI (Mild Cognitive Impairment) en anglais ; les troubles mnésiques étaient fréquents (68,7%) avec prédominance d’amnésie d’évocation (57%). Le tableau I représente la répartition des différents types de TNC dans les deux groupes.</w:t>
      </w:r>
    </w:p>
    <w:p w14:paraId="5A2DCE0A" w14:textId="77777777" w:rsidR="00E0076E" w:rsidRPr="00E0076E" w:rsidRDefault="00E0076E" w:rsidP="00E0076E">
      <w:pPr>
        <w:spacing w:after="0" w:line="240" w:lineRule="auto"/>
        <w:ind w:left="0" w:firstLine="0"/>
        <w:jc w:val="both"/>
        <w:outlineLvl w:val="0"/>
        <w:rPr>
          <w:rFonts w:ascii="Times New Roman" w:eastAsia="DengXian" w:hAnsi="Times New Roman" w:cs="Times New Roman"/>
          <w:bCs/>
          <w:sz w:val="20"/>
          <w:szCs w:val="20"/>
        </w:rPr>
      </w:pPr>
    </w:p>
    <w:p w14:paraId="2A46438E" w14:textId="77777777" w:rsidR="00E0076E" w:rsidRPr="00E0076E" w:rsidRDefault="00E0076E" w:rsidP="00E0076E">
      <w:pPr>
        <w:spacing w:after="0" w:line="240" w:lineRule="auto"/>
        <w:ind w:left="0" w:firstLine="0"/>
        <w:jc w:val="both"/>
        <w:outlineLvl w:val="0"/>
        <w:rPr>
          <w:rFonts w:ascii="Times New Roman" w:eastAsia="DengXian" w:hAnsi="Times New Roman" w:cs="Times New Roman"/>
          <w:bCs/>
          <w:sz w:val="20"/>
          <w:szCs w:val="20"/>
        </w:rPr>
      </w:pPr>
    </w:p>
    <w:p w14:paraId="70F52433" w14:textId="77777777" w:rsidR="00E57AFD" w:rsidRDefault="00E57AFD" w:rsidP="00E57AFD">
      <w:pPr>
        <w:spacing w:after="0" w:line="240" w:lineRule="auto"/>
        <w:ind w:left="0" w:firstLine="0"/>
        <w:jc w:val="both"/>
        <w:outlineLvl w:val="0"/>
        <w:rPr>
          <w:rFonts w:ascii="Times New Roman" w:eastAsia="DengXian" w:hAnsi="Times New Roman" w:cs="Times New Roman"/>
          <w:b/>
          <w:bCs/>
          <w:sz w:val="20"/>
          <w:szCs w:val="20"/>
          <w:lang w:val="fr-FR"/>
        </w:rPr>
        <w:sectPr w:rsidR="00E57AFD" w:rsidSect="00FD0359">
          <w:type w:val="continuous"/>
          <w:pgSz w:w="11906" w:h="16838"/>
          <w:pgMar w:top="1134" w:right="851" w:bottom="1418" w:left="1134" w:header="720" w:footer="708" w:gutter="0"/>
          <w:cols w:num="2" w:space="720"/>
          <w:docGrid w:linePitch="326"/>
        </w:sectPr>
      </w:pPr>
    </w:p>
    <w:tbl>
      <w:tblPr>
        <w:tblStyle w:val="TableauListe6Couleur-Accentuation1"/>
        <w:tblW w:w="5000" w:type="pct"/>
        <w:tblLook w:val="04A0" w:firstRow="1" w:lastRow="0" w:firstColumn="1" w:lastColumn="0" w:noHBand="0" w:noVBand="1"/>
      </w:tblPr>
      <w:tblGrid>
        <w:gridCol w:w="3164"/>
        <w:gridCol w:w="1726"/>
        <w:gridCol w:w="1583"/>
        <w:gridCol w:w="1728"/>
        <w:gridCol w:w="1720"/>
      </w:tblGrid>
      <w:tr w:rsidR="00E57AFD" w:rsidRPr="00E57AFD" w14:paraId="318A6ABE" w14:textId="77777777" w:rsidTr="00ED0E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5"/>
          </w:tcPr>
          <w:p w14:paraId="2850744D"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sz w:val="18"/>
                <w:szCs w:val="18"/>
                <w:lang w:val="fr-FR"/>
              </w:rPr>
            </w:pPr>
            <w:r w:rsidRPr="00E57AFD">
              <w:rPr>
                <w:rFonts w:ascii="Times New Roman" w:eastAsia="DengXian" w:hAnsi="Times New Roman" w:cs="Times New Roman"/>
                <w:sz w:val="18"/>
                <w:szCs w:val="18"/>
                <w:lang w:val="fr-FR"/>
              </w:rPr>
              <w:t>Tableau I : Répartition des différents types de troubles neurocognitifs dans les deux groupes</w:t>
            </w:r>
          </w:p>
        </w:tc>
      </w:tr>
      <w:tr w:rsidR="00E57AFD" w:rsidRPr="00E57AFD" w14:paraId="54500FA1" w14:textId="77777777" w:rsidTr="00ED0E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pct"/>
            <w:gridSpan w:val="3"/>
            <w:hideMark/>
          </w:tcPr>
          <w:p w14:paraId="262DBA6A"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sz w:val="18"/>
                <w:szCs w:val="18"/>
                <w:lang w:val="fr-FR"/>
              </w:rPr>
            </w:pPr>
            <w:r w:rsidRPr="00E57AFD">
              <w:rPr>
                <w:rFonts w:ascii="Times New Roman" w:eastAsia="DengXian" w:hAnsi="Times New Roman" w:cs="Times New Roman"/>
                <w:sz w:val="18"/>
                <w:szCs w:val="18"/>
                <w:lang w:val="fr-FR"/>
              </w:rPr>
              <w:t xml:space="preserve">                   Types de trouble neurocognitif</w:t>
            </w:r>
          </w:p>
        </w:tc>
        <w:tc>
          <w:tcPr>
            <w:tcW w:w="871" w:type="pct"/>
            <w:hideMark/>
          </w:tcPr>
          <w:p w14:paraId="4355419C"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Cas</w:t>
            </w:r>
          </w:p>
          <w:p w14:paraId="38C2D3FD"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n(%)</w:t>
            </w:r>
          </w:p>
        </w:tc>
        <w:tc>
          <w:tcPr>
            <w:tcW w:w="869" w:type="pct"/>
            <w:hideMark/>
          </w:tcPr>
          <w:p w14:paraId="254B7458"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Témoins</w:t>
            </w:r>
          </w:p>
          <w:p w14:paraId="5ABB08DE"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n(%)</w:t>
            </w:r>
          </w:p>
        </w:tc>
      </w:tr>
      <w:tr w:rsidR="00E57AFD" w:rsidRPr="00E57AFD" w14:paraId="170C88EB" w14:textId="77777777" w:rsidTr="00ED0EA2">
        <w:tc>
          <w:tcPr>
            <w:cnfStyle w:val="001000000000" w:firstRow="0" w:lastRow="0" w:firstColumn="1" w:lastColumn="0" w:oddVBand="0" w:evenVBand="0" w:oddHBand="0" w:evenHBand="0" w:firstRowFirstColumn="0" w:firstRowLastColumn="0" w:lastRowFirstColumn="0" w:lastRowLastColumn="0"/>
            <w:tcW w:w="3261" w:type="pct"/>
            <w:gridSpan w:val="3"/>
            <w:hideMark/>
          </w:tcPr>
          <w:p w14:paraId="1E746B4E"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Trouble Neurocognitif Majeur</w:t>
            </w:r>
          </w:p>
        </w:tc>
        <w:tc>
          <w:tcPr>
            <w:tcW w:w="871" w:type="pct"/>
            <w:hideMark/>
          </w:tcPr>
          <w:p w14:paraId="734564AD"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7 (4,7%)</w:t>
            </w:r>
          </w:p>
        </w:tc>
        <w:tc>
          <w:tcPr>
            <w:tcW w:w="869" w:type="pct"/>
            <w:hideMark/>
          </w:tcPr>
          <w:p w14:paraId="48343CC7"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11 (7,3%)</w:t>
            </w:r>
          </w:p>
        </w:tc>
      </w:tr>
      <w:tr w:rsidR="00E57AFD" w:rsidRPr="00E57AFD" w14:paraId="47BFD50B" w14:textId="77777777" w:rsidTr="00ED0E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4" w:type="pct"/>
            <w:vMerge w:val="restart"/>
            <w:hideMark/>
          </w:tcPr>
          <w:p w14:paraId="56ED650E"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Trouble Neurocognitif léger</w:t>
            </w:r>
          </w:p>
        </w:tc>
        <w:tc>
          <w:tcPr>
            <w:tcW w:w="870" w:type="pct"/>
            <w:vMerge w:val="restart"/>
            <w:hideMark/>
          </w:tcPr>
          <w:p w14:paraId="6C4AA113"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 xml:space="preserve">6 (4,0%)  </w:t>
            </w:r>
          </w:p>
          <w:p w14:paraId="061251B0"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 xml:space="preserve">13 (8,7%) </w:t>
            </w:r>
          </w:p>
        </w:tc>
        <w:tc>
          <w:tcPr>
            <w:tcW w:w="798" w:type="pct"/>
            <w:hideMark/>
          </w:tcPr>
          <w:p w14:paraId="07D4831D"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8 (5,3%)</w:t>
            </w:r>
          </w:p>
        </w:tc>
        <w:tc>
          <w:tcPr>
            <w:tcW w:w="871" w:type="pct"/>
            <w:hideMark/>
          </w:tcPr>
          <w:p w14:paraId="7EB6AF85" w14:textId="7956425C"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6 (7,2%)</w:t>
            </w:r>
          </w:p>
        </w:tc>
        <w:tc>
          <w:tcPr>
            <w:tcW w:w="869" w:type="pct"/>
            <w:hideMark/>
          </w:tcPr>
          <w:p w14:paraId="4178862A"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8 (17,0%)</w:t>
            </w:r>
          </w:p>
        </w:tc>
      </w:tr>
      <w:tr w:rsidR="00E57AFD" w:rsidRPr="00E57AFD" w14:paraId="7DB84D7B" w14:textId="77777777" w:rsidTr="00ED0EA2">
        <w:tc>
          <w:tcPr>
            <w:cnfStyle w:val="001000000000" w:firstRow="0" w:lastRow="0" w:firstColumn="1" w:lastColumn="0" w:oddVBand="0" w:evenVBand="0" w:oddHBand="0" w:evenHBand="0" w:firstRowFirstColumn="0" w:firstRowLastColumn="0" w:lastRowFirstColumn="0" w:lastRowLastColumn="0"/>
            <w:tcW w:w="1594" w:type="pct"/>
            <w:vMerge/>
            <w:hideMark/>
          </w:tcPr>
          <w:p w14:paraId="255CF465"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p>
        </w:tc>
        <w:tc>
          <w:tcPr>
            <w:tcW w:w="870" w:type="pct"/>
            <w:vMerge/>
            <w:hideMark/>
          </w:tcPr>
          <w:p w14:paraId="7A1881A8"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18"/>
                <w:szCs w:val="18"/>
                <w:lang w:val="fr-FR"/>
              </w:rPr>
            </w:pPr>
          </w:p>
        </w:tc>
        <w:tc>
          <w:tcPr>
            <w:tcW w:w="798" w:type="pct"/>
            <w:hideMark/>
          </w:tcPr>
          <w:p w14:paraId="1933085D"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14 (9,3%)</w:t>
            </w:r>
          </w:p>
        </w:tc>
        <w:tc>
          <w:tcPr>
            <w:tcW w:w="871" w:type="pct"/>
            <w:hideMark/>
          </w:tcPr>
          <w:p w14:paraId="55D494DA" w14:textId="7D3CB6E2"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13 (15,7%)</w:t>
            </w:r>
          </w:p>
        </w:tc>
        <w:tc>
          <w:tcPr>
            <w:tcW w:w="869" w:type="pct"/>
            <w:hideMark/>
          </w:tcPr>
          <w:p w14:paraId="575F4A75"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14 (29,8%)</w:t>
            </w:r>
          </w:p>
        </w:tc>
      </w:tr>
      <w:tr w:rsidR="00E57AFD" w:rsidRPr="00E57AFD" w14:paraId="109D593F" w14:textId="77777777" w:rsidTr="00ED0E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4" w:type="pct"/>
            <w:vMerge/>
            <w:hideMark/>
          </w:tcPr>
          <w:p w14:paraId="228165DD"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p>
        </w:tc>
        <w:tc>
          <w:tcPr>
            <w:tcW w:w="870" w:type="pct"/>
            <w:vMerge w:val="restart"/>
            <w:hideMark/>
          </w:tcPr>
          <w:p w14:paraId="592DA4A1"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26 (17,3%)</w:t>
            </w:r>
          </w:p>
          <w:p w14:paraId="47118A0E"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31(20,7%)</w:t>
            </w:r>
          </w:p>
        </w:tc>
        <w:tc>
          <w:tcPr>
            <w:tcW w:w="798" w:type="pct"/>
            <w:hideMark/>
          </w:tcPr>
          <w:p w14:paraId="06EA2590"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11 (7,3%)</w:t>
            </w:r>
          </w:p>
        </w:tc>
        <w:tc>
          <w:tcPr>
            <w:tcW w:w="871" w:type="pct"/>
            <w:hideMark/>
          </w:tcPr>
          <w:p w14:paraId="5FAFBD0F"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26 (31,3%)</w:t>
            </w:r>
          </w:p>
        </w:tc>
        <w:tc>
          <w:tcPr>
            <w:tcW w:w="869" w:type="pct"/>
            <w:hideMark/>
          </w:tcPr>
          <w:p w14:paraId="73F4C7AE"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11 (23,4%)</w:t>
            </w:r>
          </w:p>
        </w:tc>
      </w:tr>
      <w:tr w:rsidR="00E57AFD" w:rsidRPr="00E57AFD" w14:paraId="17C6BC29" w14:textId="77777777" w:rsidTr="00ED0EA2">
        <w:tc>
          <w:tcPr>
            <w:cnfStyle w:val="001000000000" w:firstRow="0" w:lastRow="0" w:firstColumn="1" w:lastColumn="0" w:oddVBand="0" w:evenVBand="0" w:oddHBand="0" w:evenHBand="0" w:firstRowFirstColumn="0" w:firstRowLastColumn="0" w:lastRowFirstColumn="0" w:lastRowLastColumn="0"/>
            <w:tcW w:w="1594" w:type="pct"/>
            <w:vMerge/>
            <w:hideMark/>
          </w:tcPr>
          <w:p w14:paraId="7F758340"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p>
        </w:tc>
        <w:tc>
          <w:tcPr>
            <w:tcW w:w="870" w:type="pct"/>
            <w:vMerge/>
            <w:hideMark/>
          </w:tcPr>
          <w:p w14:paraId="5A392562"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18"/>
                <w:szCs w:val="18"/>
                <w:lang w:val="fr-FR"/>
              </w:rPr>
            </w:pPr>
          </w:p>
        </w:tc>
        <w:tc>
          <w:tcPr>
            <w:tcW w:w="798" w:type="pct"/>
            <w:hideMark/>
          </w:tcPr>
          <w:p w14:paraId="5D5C199C"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3 (2,1%)</w:t>
            </w:r>
          </w:p>
        </w:tc>
        <w:tc>
          <w:tcPr>
            <w:tcW w:w="871" w:type="pct"/>
            <w:hideMark/>
          </w:tcPr>
          <w:p w14:paraId="314F5CED"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31(37,4%)</w:t>
            </w:r>
          </w:p>
        </w:tc>
        <w:tc>
          <w:tcPr>
            <w:tcW w:w="869" w:type="pct"/>
            <w:hideMark/>
          </w:tcPr>
          <w:p w14:paraId="4CACAF1D"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 (6,4%)</w:t>
            </w:r>
          </w:p>
        </w:tc>
      </w:tr>
      <w:tr w:rsidR="00E57AFD" w:rsidRPr="00E57AFD" w14:paraId="2FBD97B0" w14:textId="77777777" w:rsidTr="00ED0E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61" w:type="pct"/>
            <w:gridSpan w:val="3"/>
            <w:hideMark/>
          </w:tcPr>
          <w:p w14:paraId="3E2D3574"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Total</w:t>
            </w:r>
          </w:p>
        </w:tc>
        <w:tc>
          <w:tcPr>
            <w:tcW w:w="871" w:type="pct"/>
            <w:hideMark/>
          </w:tcPr>
          <w:p w14:paraId="676884B2"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83 (55,3)</w:t>
            </w:r>
          </w:p>
        </w:tc>
        <w:tc>
          <w:tcPr>
            <w:tcW w:w="869" w:type="pct"/>
            <w:hideMark/>
          </w:tcPr>
          <w:p w14:paraId="2FB78D89"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47 (31,3)</w:t>
            </w:r>
          </w:p>
        </w:tc>
      </w:tr>
    </w:tbl>
    <w:p w14:paraId="69DB239C" w14:textId="77777777" w:rsidR="00E57AFD" w:rsidRDefault="00E57AFD" w:rsidP="00E0076E">
      <w:pPr>
        <w:spacing w:after="0" w:line="240" w:lineRule="auto"/>
        <w:ind w:left="0" w:firstLine="0"/>
        <w:jc w:val="both"/>
        <w:outlineLvl w:val="0"/>
        <w:rPr>
          <w:rFonts w:ascii="Times New Roman" w:eastAsia="DengXian" w:hAnsi="Times New Roman" w:cs="Times New Roman"/>
          <w:bCs/>
          <w:sz w:val="20"/>
          <w:szCs w:val="20"/>
        </w:rPr>
      </w:pPr>
    </w:p>
    <w:p w14:paraId="5B469AB3" w14:textId="77777777" w:rsidR="006D037B" w:rsidRDefault="006D037B" w:rsidP="00E0076E">
      <w:pPr>
        <w:spacing w:after="0" w:line="240" w:lineRule="auto"/>
        <w:ind w:left="0" w:firstLine="0"/>
        <w:jc w:val="both"/>
        <w:outlineLvl w:val="0"/>
        <w:rPr>
          <w:rFonts w:ascii="Times New Roman" w:eastAsia="DengXian" w:hAnsi="Times New Roman" w:cs="Times New Roman"/>
          <w:bCs/>
          <w:sz w:val="20"/>
          <w:szCs w:val="20"/>
        </w:rPr>
      </w:pPr>
    </w:p>
    <w:p w14:paraId="077ABA28" w14:textId="77777777" w:rsidR="006D037B" w:rsidRDefault="006D037B" w:rsidP="00E0076E">
      <w:pPr>
        <w:spacing w:after="0" w:line="240" w:lineRule="auto"/>
        <w:ind w:left="0" w:firstLine="0"/>
        <w:jc w:val="both"/>
        <w:outlineLvl w:val="0"/>
        <w:rPr>
          <w:rFonts w:ascii="Times New Roman" w:eastAsia="DengXian" w:hAnsi="Times New Roman" w:cs="Times New Roman"/>
          <w:bCs/>
          <w:sz w:val="20"/>
          <w:szCs w:val="20"/>
        </w:rPr>
        <w:sectPr w:rsidR="006D037B" w:rsidSect="00E57AFD">
          <w:type w:val="continuous"/>
          <w:pgSz w:w="11906" w:h="16838"/>
          <w:pgMar w:top="1134" w:right="851" w:bottom="1418" w:left="1134" w:header="720" w:footer="708" w:gutter="0"/>
          <w:cols w:space="720"/>
          <w:docGrid w:linePitch="326"/>
        </w:sectPr>
      </w:pPr>
    </w:p>
    <w:p w14:paraId="7F9E1EB8" w14:textId="77777777" w:rsidR="00E57AFD" w:rsidRDefault="00E0076E" w:rsidP="00E0076E">
      <w:pPr>
        <w:spacing w:after="0" w:line="240" w:lineRule="auto"/>
        <w:ind w:left="0" w:firstLine="0"/>
        <w:jc w:val="both"/>
        <w:outlineLvl w:val="0"/>
        <w:rPr>
          <w:rFonts w:ascii="Times New Roman" w:eastAsia="DengXian" w:hAnsi="Times New Roman" w:cs="Times New Roman"/>
          <w:bCs/>
          <w:sz w:val="20"/>
          <w:szCs w:val="20"/>
        </w:rPr>
        <w:sectPr w:rsidR="00E57AFD" w:rsidSect="00E57AFD">
          <w:type w:val="continuous"/>
          <w:pgSz w:w="11906" w:h="16838"/>
          <w:pgMar w:top="1134" w:right="851" w:bottom="1418" w:left="1134" w:header="720" w:footer="708" w:gutter="0"/>
          <w:cols w:space="720"/>
          <w:docGrid w:linePitch="326"/>
        </w:sectPr>
      </w:pPr>
      <w:r w:rsidRPr="00E0076E">
        <w:rPr>
          <w:rFonts w:ascii="Times New Roman" w:eastAsia="DengXian" w:hAnsi="Times New Roman" w:cs="Times New Roman"/>
          <w:bCs/>
          <w:sz w:val="20"/>
          <w:szCs w:val="20"/>
        </w:rPr>
        <w:t>L’épilepsie était un facteur indépendant de risque de TNC, avec un OR = 1,68 et un intervalle de confiance à 95% [1,49-2,67], p = 0,02, à l’analyse univariée. Les tableaux II et III présentent l’analyse de risque des TNC dans les deux groupes et chez les épileptiques respectivement</w:t>
      </w:r>
    </w:p>
    <w:p w14:paraId="753C618A" w14:textId="77777777" w:rsidR="00E0076E" w:rsidRPr="00E0076E" w:rsidRDefault="00E0076E" w:rsidP="00E0076E">
      <w:pPr>
        <w:spacing w:after="0" w:line="240" w:lineRule="auto"/>
        <w:ind w:left="0" w:firstLine="0"/>
        <w:jc w:val="both"/>
        <w:outlineLvl w:val="0"/>
        <w:rPr>
          <w:rFonts w:ascii="Times New Roman" w:eastAsia="DengXian" w:hAnsi="Times New Roman" w:cs="Times New Roman"/>
          <w:bCs/>
          <w:sz w:val="20"/>
          <w:szCs w:val="20"/>
        </w:rPr>
      </w:pPr>
      <w:r w:rsidRPr="00E0076E">
        <w:rPr>
          <w:rFonts w:ascii="Times New Roman" w:eastAsia="DengXian" w:hAnsi="Times New Roman" w:cs="Times New Roman"/>
          <w:bCs/>
          <w:sz w:val="20"/>
          <w:szCs w:val="20"/>
        </w:rPr>
        <w:t xml:space="preserve">. </w:t>
      </w:r>
    </w:p>
    <w:p w14:paraId="2876DEAD" w14:textId="77777777" w:rsidR="00E0076E" w:rsidRDefault="00E0076E" w:rsidP="00E0076E">
      <w:pPr>
        <w:spacing w:after="0" w:line="240" w:lineRule="auto"/>
        <w:ind w:left="0" w:firstLine="0"/>
        <w:jc w:val="both"/>
        <w:outlineLvl w:val="0"/>
        <w:rPr>
          <w:rFonts w:ascii="Times New Roman" w:eastAsia="DengXian" w:hAnsi="Times New Roman" w:cs="Times New Roman"/>
          <w:bCs/>
          <w:sz w:val="20"/>
          <w:szCs w:val="20"/>
        </w:rPr>
      </w:pPr>
    </w:p>
    <w:p w14:paraId="180D7DC4" w14:textId="77777777" w:rsidR="00E57AFD" w:rsidRDefault="00E57AFD" w:rsidP="00E57AFD">
      <w:pPr>
        <w:spacing w:after="0" w:line="240" w:lineRule="auto"/>
        <w:ind w:left="0" w:firstLine="0"/>
        <w:jc w:val="both"/>
        <w:outlineLvl w:val="0"/>
        <w:rPr>
          <w:rFonts w:ascii="Times New Roman" w:eastAsia="DengXian" w:hAnsi="Times New Roman" w:cs="Times New Roman"/>
          <w:b/>
          <w:bCs/>
          <w:sz w:val="20"/>
          <w:szCs w:val="20"/>
          <w:lang w:val="fr-FR"/>
        </w:rPr>
        <w:sectPr w:rsidR="00E57AFD" w:rsidSect="00FD0359">
          <w:type w:val="continuous"/>
          <w:pgSz w:w="11906" w:h="16838"/>
          <w:pgMar w:top="1134" w:right="851" w:bottom="1418" w:left="1134" w:header="720" w:footer="708" w:gutter="0"/>
          <w:cols w:num="2" w:space="720"/>
          <w:docGrid w:linePitch="326"/>
        </w:sectPr>
      </w:pPr>
    </w:p>
    <w:tbl>
      <w:tblPr>
        <w:tblStyle w:val="TableauListe6Couleur-Accentuation1"/>
        <w:tblW w:w="9885" w:type="dxa"/>
        <w:tblLayout w:type="fixed"/>
        <w:tblLook w:val="04A0" w:firstRow="1" w:lastRow="0" w:firstColumn="1" w:lastColumn="0" w:noHBand="0" w:noVBand="1"/>
      </w:tblPr>
      <w:tblGrid>
        <w:gridCol w:w="1809"/>
        <w:gridCol w:w="990"/>
        <w:gridCol w:w="991"/>
        <w:gridCol w:w="1134"/>
        <w:gridCol w:w="1134"/>
        <w:gridCol w:w="992"/>
        <w:gridCol w:w="709"/>
        <w:gridCol w:w="1134"/>
        <w:gridCol w:w="992"/>
      </w:tblGrid>
      <w:tr w:rsidR="00E57AFD" w:rsidRPr="00E57AFD" w14:paraId="2AECDA9E" w14:textId="77777777" w:rsidTr="00ED0E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5" w:type="dxa"/>
            <w:gridSpan w:val="9"/>
          </w:tcPr>
          <w:p w14:paraId="09A8C727"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sz w:val="18"/>
                <w:szCs w:val="18"/>
                <w:lang w:val="fr-FR"/>
              </w:rPr>
            </w:pPr>
            <w:r w:rsidRPr="00E57AFD">
              <w:rPr>
                <w:rFonts w:ascii="Times New Roman" w:eastAsia="DengXian" w:hAnsi="Times New Roman" w:cs="Times New Roman"/>
                <w:sz w:val="18"/>
                <w:szCs w:val="18"/>
                <w:lang w:val="fr-FR"/>
              </w:rPr>
              <w:t>Tableau II : Analyse sur le risque de survenue des troubles neurocognitifs dans les deux groupes</w:t>
            </w:r>
          </w:p>
        </w:tc>
      </w:tr>
      <w:tr w:rsidR="00E57AFD" w:rsidRPr="00E57AFD" w14:paraId="3F5C60BD" w14:textId="77777777" w:rsidTr="00ED0E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9" w:type="dxa"/>
            <w:gridSpan w:val="2"/>
            <w:vMerge w:val="restart"/>
            <w:hideMark/>
          </w:tcPr>
          <w:p w14:paraId="5B8BA2C2"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sz w:val="18"/>
                <w:szCs w:val="18"/>
                <w:lang w:val="fr-FR"/>
              </w:rPr>
            </w:pPr>
            <w:r w:rsidRPr="00E57AFD">
              <w:rPr>
                <w:rFonts w:ascii="Times New Roman" w:eastAsia="DengXian" w:hAnsi="Times New Roman" w:cs="Times New Roman"/>
                <w:sz w:val="18"/>
                <w:szCs w:val="18"/>
                <w:lang w:val="fr-FR"/>
              </w:rPr>
              <w:t>Variables</w:t>
            </w:r>
          </w:p>
        </w:tc>
        <w:tc>
          <w:tcPr>
            <w:tcW w:w="2125" w:type="dxa"/>
            <w:gridSpan w:val="2"/>
            <w:hideMark/>
          </w:tcPr>
          <w:p w14:paraId="16EFD1A2"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Patients épileptiques</w:t>
            </w:r>
          </w:p>
        </w:tc>
        <w:tc>
          <w:tcPr>
            <w:tcW w:w="2126" w:type="dxa"/>
            <w:gridSpan w:val="2"/>
            <w:hideMark/>
          </w:tcPr>
          <w:p w14:paraId="0949EF93"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Non épileptiques</w:t>
            </w:r>
          </w:p>
        </w:tc>
        <w:tc>
          <w:tcPr>
            <w:tcW w:w="709" w:type="dxa"/>
            <w:vMerge w:val="restart"/>
            <w:hideMark/>
          </w:tcPr>
          <w:p w14:paraId="747884F5"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OR</w:t>
            </w:r>
          </w:p>
        </w:tc>
        <w:tc>
          <w:tcPr>
            <w:tcW w:w="1134" w:type="dxa"/>
            <w:vMerge w:val="restart"/>
            <w:hideMark/>
          </w:tcPr>
          <w:p w14:paraId="4E91B1CD"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IC95%</w:t>
            </w:r>
          </w:p>
        </w:tc>
        <w:tc>
          <w:tcPr>
            <w:tcW w:w="992" w:type="dxa"/>
            <w:vMerge w:val="restart"/>
            <w:hideMark/>
          </w:tcPr>
          <w:p w14:paraId="465ED69F"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P</w:t>
            </w:r>
          </w:p>
        </w:tc>
      </w:tr>
      <w:tr w:rsidR="00E57AFD" w:rsidRPr="00E57AFD" w14:paraId="39A4DAF0" w14:textId="77777777" w:rsidTr="00ED0EA2">
        <w:tc>
          <w:tcPr>
            <w:cnfStyle w:val="001000000000" w:firstRow="0" w:lastRow="0" w:firstColumn="1" w:lastColumn="0" w:oddVBand="0" w:evenVBand="0" w:oddHBand="0" w:evenHBand="0" w:firstRowFirstColumn="0" w:firstRowLastColumn="0" w:lastRowFirstColumn="0" w:lastRowLastColumn="0"/>
            <w:tcW w:w="2799" w:type="dxa"/>
            <w:gridSpan w:val="2"/>
            <w:vMerge/>
            <w:hideMark/>
          </w:tcPr>
          <w:p w14:paraId="55F7F75E"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sz w:val="18"/>
                <w:szCs w:val="18"/>
                <w:lang w:val="fr-FR"/>
              </w:rPr>
            </w:pPr>
          </w:p>
        </w:tc>
        <w:tc>
          <w:tcPr>
            <w:tcW w:w="991" w:type="dxa"/>
            <w:hideMark/>
          </w:tcPr>
          <w:p w14:paraId="24D9C0A5"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Avec TNC</w:t>
            </w:r>
          </w:p>
          <w:p w14:paraId="50C03835"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n=83</w:t>
            </w:r>
          </w:p>
        </w:tc>
        <w:tc>
          <w:tcPr>
            <w:tcW w:w="1134" w:type="dxa"/>
            <w:hideMark/>
          </w:tcPr>
          <w:p w14:paraId="793920EB"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Sans TNC</w:t>
            </w:r>
          </w:p>
          <w:p w14:paraId="1FB0C525"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n=67</w:t>
            </w:r>
          </w:p>
        </w:tc>
        <w:tc>
          <w:tcPr>
            <w:tcW w:w="1134" w:type="dxa"/>
            <w:hideMark/>
          </w:tcPr>
          <w:p w14:paraId="5B87D3F6"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Avec TNC</w:t>
            </w:r>
          </w:p>
          <w:p w14:paraId="04DB7510"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n=47</w:t>
            </w:r>
          </w:p>
        </w:tc>
        <w:tc>
          <w:tcPr>
            <w:tcW w:w="992" w:type="dxa"/>
            <w:hideMark/>
          </w:tcPr>
          <w:p w14:paraId="7226A17B"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Sans TNC</w:t>
            </w:r>
          </w:p>
          <w:p w14:paraId="4F0DCE24"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n=103</w:t>
            </w:r>
          </w:p>
        </w:tc>
        <w:tc>
          <w:tcPr>
            <w:tcW w:w="709" w:type="dxa"/>
            <w:vMerge/>
            <w:hideMark/>
          </w:tcPr>
          <w:p w14:paraId="5FAA08A1"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p>
        </w:tc>
        <w:tc>
          <w:tcPr>
            <w:tcW w:w="1134" w:type="dxa"/>
            <w:vMerge/>
            <w:hideMark/>
          </w:tcPr>
          <w:p w14:paraId="1919E241"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p>
        </w:tc>
        <w:tc>
          <w:tcPr>
            <w:tcW w:w="992" w:type="dxa"/>
            <w:vMerge/>
            <w:hideMark/>
          </w:tcPr>
          <w:p w14:paraId="1109A252"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p>
        </w:tc>
      </w:tr>
      <w:tr w:rsidR="00E57AFD" w:rsidRPr="00E57AFD" w14:paraId="6769F42C" w14:textId="77777777" w:rsidTr="00ED0E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9" w:type="dxa"/>
            <w:gridSpan w:val="2"/>
            <w:hideMark/>
          </w:tcPr>
          <w:p w14:paraId="046FF70B"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Age &lt; 55ans</w:t>
            </w:r>
          </w:p>
        </w:tc>
        <w:tc>
          <w:tcPr>
            <w:tcW w:w="991" w:type="dxa"/>
            <w:hideMark/>
          </w:tcPr>
          <w:p w14:paraId="566509E8"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32(39%)</w:t>
            </w:r>
          </w:p>
        </w:tc>
        <w:tc>
          <w:tcPr>
            <w:tcW w:w="1134" w:type="dxa"/>
            <w:hideMark/>
          </w:tcPr>
          <w:p w14:paraId="7D39E9DC"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9(13%)</w:t>
            </w:r>
          </w:p>
        </w:tc>
        <w:tc>
          <w:tcPr>
            <w:tcW w:w="1134" w:type="dxa"/>
            <w:hideMark/>
          </w:tcPr>
          <w:p w14:paraId="31CDA24C"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28(60%)</w:t>
            </w:r>
          </w:p>
        </w:tc>
        <w:tc>
          <w:tcPr>
            <w:tcW w:w="992" w:type="dxa"/>
            <w:hideMark/>
          </w:tcPr>
          <w:p w14:paraId="38D7FD60"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29(28%)</w:t>
            </w:r>
          </w:p>
        </w:tc>
        <w:tc>
          <w:tcPr>
            <w:tcW w:w="709" w:type="dxa"/>
            <w:hideMark/>
          </w:tcPr>
          <w:p w14:paraId="51201574"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2,72</w:t>
            </w:r>
          </w:p>
        </w:tc>
        <w:tc>
          <w:tcPr>
            <w:tcW w:w="1134" w:type="dxa"/>
            <w:hideMark/>
          </w:tcPr>
          <w:p w14:paraId="56E3EB37"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0,14-4,86</w:t>
            </w:r>
          </w:p>
        </w:tc>
        <w:tc>
          <w:tcPr>
            <w:tcW w:w="992" w:type="dxa"/>
            <w:hideMark/>
          </w:tcPr>
          <w:p w14:paraId="00C3824A"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Cs/>
                <w:sz w:val="18"/>
                <w:szCs w:val="18"/>
                <w:lang w:val="fr-FR"/>
              </w:rPr>
              <w:t>0,08</w:t>
            </w:r>
          </w:p>
        </w:tc>
      </w:tr>
      <w:tr w:rsidR="00E57AFD" w:rsidRPr="00E57AFD" w14:paraId="2B56E825" w14:textId="77777777" w:rsidTr="00ED0EA2">
        <w:tc>
          <w:tcPr>
            <w:cnfStyle w:val="001000000000" w:firstRow="0" w:lastRow="0" w:firstColumn="1" w:lastColumn="0" w:oddVBand="0" w:evenVBand="0" w:oddHBand="0" w:evenHBand="0" w:firstRowFirstColumn="0" w:firstRowLastColumn="0" w:lastRowFirstColumn="0" w:lastRowLastColumn="0"/>
            <w:tcW w:w="2799" w:type="dxa"/>
            <w:gridSpan w:val="2"/>
            <w:hideMark/>
          </w:tcPr>
          <w:p w14:paraId="66C92B07"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Age ≥ 55ans</w:t>
            </w:r>
          </w:p>
        </w:tc>
        <w:tc>
          <w:tcPr>
            <w:tcW w:w="991" w:type="dxa"/>
            <w:hideMark/>
          </w:tcPr>
          <w:p w14:paraId="4E849830"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51(61%)</w:t>
            </w:r>
          </w:p>
        </w:tc>
        <w:tc>
          <w:tcPr>
            <w:tcW w:w="1134" w:type="dxa"/>
            <w:hideMark/>
          </w:tcPr>
          <w:p w14:paraId="4FCF51D0"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58(87%)</w:t>
            </w:r>
          </w:p>
        </w:tc>
        <w:tc>
          <w:tcPr>
            <w:tcW w:w="1134" w:type="dxa"/>
            <w:hideMark/>
          </w:tcPr>
          <w:p w14:paraId="5F827360"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19(40%)</w:t>
            </w:r>
          </w:p>
        </w:tc>
        <w:tc>
          <w:tcPr>
            <w:tcW w:w="992" w:type="dxa"/>
            <w:hideMark/>
          </w:tcPr>
          <w:p w14:paraId="2A910969"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74(72%)</w:t>
            </w:r>
          </w:p>
        </w:tc>
        <w:tc>
          <w:tcPr>
            <w:tcW w:w="709" w:type="dxa"/>
            <w:hideMark/>
          </w:tcPr>
          <w:p w14:paraId="1922CB54"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1,84</w:t>
            </w:r>
          </w:p>
        </w:tc>
        <w:tc>
          <w:tcPr>
            <w:tcW w:w="1134" w:type="dxa"/>
            <w:hideMark/>
          </w:tcPr>
          <w:p w14:paraId="66DF023F"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1,16-2,54</w:t>
            </w:r>
          </w:p>
        </w:tc>
        <w:tc>
          <w:tcPr>
            <w:tcW w:w="992" w:type="dxa"/>
            <w:hideMark/>
          </w:tcPr>
          <w:p w14:paraId="14661596"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
                <w:bCs/>
                <w:sz w:val="18"/>
                <w:szCs w:val="18"/>
                <w:lang w:val="fr-FR"/>
              </w:rPr>
              <w:t>0,01</w:t>
            </w:r>
          </w:p>
        </w:tc>
      </w:tr>
      <w:tr w:rsidR="00E57AFD" w:rsidRPr="00E57AFD" w14:paraId="2858689F" w14:textId="77777777" w:rsidTr="00ED0E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vMerge w:val="restart"/>
            <w:hideMark/>
          </w:tcPr>
          <w:p w14:paraId="4014A650"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Sexe (H/F)</w:t>
            </w:r>
          </w:p>
        </w:tc>
        <w:tc>
          <w:tcPr>
            <w:tcW w:w="990" w:type="dxa"/>
            <w:hideMark/>
          </w:tcPr>
          <w:p w14:paraId="733D20DA"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Homme</w:t>
            </w:r>
          </w:p>
        </w:tc>
        <w:tc>
          <w:tcPr>
            <w:tcW w:w="991" w:type="dxa"/>
            <w:hideMark/>
          </w:tcPr>
          <w:p w14:paraId="0B224A94"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36(43%)</w:t>
            </w:r>
          </w:p>
        </w:tc>
        <w:tc>
          <w:tcPr>
            <w:tcW w:w="1134" w:type="dxa"/>
            <w:hideMark/>
          </w:tcPr>
          <w:p w14:paraId="3D93BB26"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30(45%)</w:t>
            </w:r>
          </w:p>
        </w:tc>
        <w:tc>
          <w:tcPr>
            <w:tcW w:w="1134" w:type="dxa"/>
            <w:hideMark/>
          </w:tcPr>
          <w:p w14:paraId="677F8129"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15(32%)</w:t>
            </w:r>
          </w:p>
        </w:tc>
        <w:tc>
          <w:tcPr>
            <w:tcW w:w="992" w:type="dxa"/>
            <w:hideMark/>
          </w:tcPr>
          <w:p w14:paraId="218AF25D"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58(56%)</w:t>
            </w:r>
          </w:p>
        </w:tc>
        <w:tc>
          <w:tcPr>
            <w:tcW w:w="709" w:type="dxa"/>
            <w:vMerge w:val="restart"/>
            <w:hideMark/>
          </w:tcPr>
          <w:p w14:paraId="6A80A5E9"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1,20</w:t>
            </w:r>
          </w:p>
        </w:tc>
        <w:tc>
          <w:tcPr>
            <w:tcW w:w="1134" w:type="dxa"/>
            <w:vMerge w:val="restart"/>
            <w:hideMark/>
          </w:tcPr>
          <w:p w14:paraId="6469CA76"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0,37-1,65</w:t>
            </w:r>
          </w:p>
        </w:tc>
        <w:tc>
          <w:tcPr>
            <w:tcW w:w="992" w:type="dxa"/>
            <w:vMerge w:val="restart"/>
            <w:hideMark/>
          </w:tcPr>
          <w:p w14:paraId="49890382"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0,088</w:t>
            </w:r>
          </w:p>
        </w:tc>
      </w:tr>
      <w:tr w:rsidR="00E57AFD" w:rsidRPr="00E57AFD" w14:paraId="5BE985BE" w14:textId="77777777" w:rsidTr="00E57AFD">
        <w:tc>
          <w:tcPr>
            <w:cnfStyle w:val="001000000000" w:firstRow="0" w:lastRow="0" w:firstColumn="1" w:lastColumn="0" w:oddVBand="0" w:evenVBand="0" w:oddHBand="0" w:evenHBand="0" w:firstRowFirstColumn="0" w:firstRowLastColumn="0" w:lastRowFirstColumn="0" w:lastRowLastColumn="0"/>
            <w:tcW w:w="1809" w:type="dxa"/>
            <w:vMerge/>
            <w:shd w:val="clear" w:color="auto" w:fill="DEEAF6" w:themeFill="accent1" w:themeFillTint="33"/>
            <w:hideMark/>
          </w:tcPr>
          <w:p w14:paraId="62B25FCB"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p>
        </w:tc>
        <w:tc>
          <w:tcPr>
            <w:tcW w:w="990" w:type="dxa"/>
            <w:shd w:val="clear" w:color="auto" w:fill="DEEAF6" w:themeFill="accent1" w:themeFillTint="33"/>
            <w:hideMark/>
          </w:tcPr>
          <w:p w14:paraId="7011EC40"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Femme</w:t>
            </w:r>
          </w:p>
        </w:tc>
        <w:tc>
          <w:tcPr>
            <w:tcW w:w="991" w:type="dxa"/>
            <w:shd w:val="clear" w:color="auto" w:fill="DEEAF6" w:themeFill="accent1" w:themeFillTint="33"/>
            <w:hideMark/>
          </w:tcPr>
          <w:p w14:paraId="7AA1369A"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47(57%)</w:t>
            </w:r>
          </w:p>
        </w:tc>
        <w:tc>
          <w:tcPr>
            <w:tcW w:w="1134" w:type="dxa"/>
            <w:shd w:val="clear" w:color="auto" w:fill="DEEAF6" w:themeFill="accent1" w:themeFillTint="33"/>
            <w:hideMark/>
          </w:tcPr>
          <w:p w14:paraId="15B8ACC1"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37(55%)</w:t>
            </w:r>
          </w:p>
        </w:tc>
        <w:tc>
          <w:tcPr>
            <w:tcW w:w="1134" w:type="dxa"/>
            <w:shd w:val="clear" w:color="auto" w:fill="DEEAF6" w:themeFill="accent1" w:themeFillTint="33"/>
            <w:hideMark/>
          </w:tcPr>
          <w:p w14:paraId="68C836DC"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32(68%)</w:t>
            </w:r>
          </w:p>
        </w:tc>
        <w:tc>
          <w:tcPr>
            <w:tcW w:w="992" w:type="dxa"/>
            <w:shd w:val="clear" w:color="auto" w:fill="DEEAF6" w:themeFill="accent1" w:themeFillTint="33"/>
            <w:hideMark/>
          </w:tcPr>
          <w:p w14:paraId="46792E1F" w14:textId="77777777" w:rsid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45(44%)</w:t>
            </w:r>
          </w:p>
          <w:p w14:paraId="63ED9273" w14:textId="77777777" w:rsidR="006D037B" w:rsidRPr="00E57AFD" w:rsidRDefault="006D037B"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p>
        </w:tc>
        <w:tc>
          <w:tcPr>
            <w:tcW w:w="709" w:type="dxa"/>
            <w:vMerge/>
            <w:hideMark/>
          </w:tcPr>
          <w:p w14:paraId="2C1841A3"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p>
        </w:tc>
        <w:tc>
          <w:tcPr>
            <w:tcW w:w="1134" w:type="dxa"/>
            <w:vMerge/>
            <w:hideMark/>
          </w:tcPr>
          <w:p w14:paraId="399AC75B"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p>
        </w:tc>
        <w:tc>
          <w:tcPr>
            <w:tcW w:w="992" w:type="dxa"/>
            <w:vMerge/>
            <w:hideMark/>
          </w:tcPr>
          <w:p w14:paraId="01DED04B"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p>
        </w:tc>
      </w:tr>
      <w:tr w:rsidR="006D037B" w:rsidRPr="00E57AFD" w14:paraId="02766C7F" w14:textId="77777777" w:rsidTr="00874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5" w:type="dxa"/>
            <w:gridSpan w:val="9"/>
          </w:tcPr>
          <w:p w14:paraId="631046BB" w14:textId="77777777" w:rsidR="006D037B" w:rsidRPr="00E57AFD" w:rsidRDefault="006D037B" w:rsidP="00874521">
            <w:pPr>
              <w:spacing w:after="0" w:line="240" w:lineRule="auto"/>
              <w:ind w:left="0" w:firstLine="0"/>
              <w:jc w:val="both"/>
              <w:outlineLvl w:val="0"/>
              <w:rPr>
                <w:rFonts w:ascii="Times New Roman" w:eastAsia="DengXian" w:hAnsi="Times New Roman" w:cs="Times New Roman"/>
                <w:b w:val="0"/>
                <w:sz w:val="18"/>
                <w:szCs w:val="18"/>
                <w:lang w:val="fr-FR"/>
              </w:rPr>
            </w:pPr>
            <w:r w:rsidRPr="00E57AFD">
              <w:rPr>
                <w:rFonts w:ascii="Times New Roman" w:eastAsia="DengXian" w:hAnsi="Times New Roman" w:cs="Times New Roman"/>
                <w:sz w:val="18"/>
                <w:szCs w:val="18"/>
                <w:lang w:val="fr-FR"/>
              </w:rPr>
              <w:lastRenderedPageBreak/>
              <w:t>Tableau II : Analyse sur le risque de survenue des troubles neurocognitifs dans les deux groupes</w:t>
            </w:r>
          </w:p>
        </w:tc>
      </w:tr>
      <w:tr w:rsidR="006D037B" w:rsidRPr="00E57AFD" w14:paraId="52A1E167" w14:textId="77777777" w:rsidTr="00874521">
        <w:tc>
          <w:tcPr>
            <w:cnfStyle w:val="001000000000" w:firstRow="0" w:lastRow="0" w:firstColumn="1" w:lastColumn="0" w:oddVBand="0" w:evenVBand="0" w:oddHBand="0" w:evenHBand="0" w:firstRowFirstColumn="0" w:firstRowLastColumn="0" w:lastRowFirstColumn="0" w:lastRowLastColumn="0"/>
            <w:tcW w:w="2799" w:type="dxa"/>
            <w:gridSpan w:val="2"/>
            <w:vMerge w:val="restart"/>
            <w:hideMark/>
          </w:tcPr>
          <w:p w14:paraId="142D0195" w14:textId="77777777" w:rsidR="006D037B" w:rsidRPr="00E57AFD" w:rsidRDefault="006D037B" w:rsidP="00874521">
            <w:pPr>
              <w:spacing w:after="0" w:line="240" w:lineRule="auto"/>
              <w:ind w:left="0" w:firstLine="0"/>
              <w:jc w:val="both"/>
              <w:outlineLvl w:val="0"/>
              <w:rPr>
                <w:rFonts w:ascii="Times New Roman" w:eastAsia="DengXian" w:hAnsi="Times New Roman" w:cs="Times New Roman"/>
                <w:b w:val="0"/>
                <w:sz w:val="18"/>
                <w:szCs w:val="18"/>
                <w:lang w:val="fr-FR"/>
              </w:rPr>
            </w:pPr>
            <w:r w:rsidRPr="00E57AFD">
              <w:rPr>
                <w:rFonts w:ascii="Times New Roman" w:eastAsia="DengXian" w:hAnsi="Times New Roman" w:cs="Times New Roman"/>
                <w:sz w:val="18"/>
                <w:szCs w:val="18"/>
                <w:lang w:val="fr-FR"/>
              </w:rPr>
              <w:t>Variables</w:t>
            </w:r>
          </w:p>
        </w:tc>
        <w:tc>
          <w:tcPr>
            <w:tcW w:w="2125" w:type="dxa"/>
            <w:gridSpan w:val="2"/>
            <w:hideMark/>
          </w:tcPr>
          <w:p w14:paraId="1DA26283" w14:textId="77777777" w:rsidR="006D037B" w:rsidRPr="00E57AFD" w:rsidRDefault="006D037B" w:rsidP="00874521">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Patients épileptiques</w:t>
            </w:r>
          </w:p>
        </w:tc>
        <w:tc>
          <w:tcPr>
            <w:tcW w:w="2126" w:type="dxa"/>
            <w:gridSpan w:val="2"/>
            <w:hideMark/>
          </w:tcPr>
          <w:p w14:paraId="79A9FA9A" w14:textId="77777777" w:rsidR="006D037B" w:rsidRPr="00E57AFD" w:rsidRDefault="006D037B" w:rsidP="00874521">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Non épileptiques</w:t>
            </w:r>
          </w:p>
        </w:tc>
        <w:tc>
          <w:tcPr>
            <w:tcW w:w="709" w:type="dxa"/>
            <w:vMerge w:val="restart"/>
            <w:hideMark/>
          </w:tcPr>
          <w:p w14:paraId="08FFDCEF" w14:textId="77777777" w:rsidR="006D037B" w:rsidRPr="00E57AFD" w:rsidRDefault="006D037B" w:rsidP="00874521">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OR</w:t>
            </w:r>
          </w:p>
        </w:tc>
        <w:tc>
          <w:tcPr>
            <w:tcW w:w="1134" w:type="dxa"/>
            <w:vMerge w:val="restart"/>
            <w:hideMark/>
          </w:tcPr>
          <w:p w14:paraId="5ACB8162" w14:textId="77777777" w:rsidR="006D037B" w:rsidRPr="00E57AFD" w:rsidRDefault="006D037B" w:rsidP="00874521">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IC95%</w:t>
            </w:r>
          </w:p>
        </w:tc>
        <w:tc>
          <w:tcPr>
            <w:tcW w:w="992" w:type="dxa"/>
            <w:vMerge w:val="restart"/>
            <w:hideMark/>
          </w:tcPr>
          <w:p w14:paraId="4C2F6E28" w14:textId="77777777" w:rsidR="006D037B" w:rsidRPr="00E57AFD" w:rsidRDefault="006D037B" w:rsidP="00874521">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P</w:t>
            </w:r>
          </w:p>
        </w:tc>
      </w:tr>
      <w:tr w:rsidR="006D037B" w:rsidRPr="00E57AFD" w14:paraId="75BF4887" w14:textId="77777777" w:rsidTr="008745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9" w:type="dxa"/>
            <w:gridSpan w:val="2"/>
            <w:vMerge/>
            <w:hideMark/>
          </w:tcPr>
          <w:p w14:paraId="27510356" w14:textId="77777777" w:rsidR="006D037B" w:rsidRPr="00E57AFD" w:rsidRDefault="006D037B" w:rsidP="00874521">
            <w:pPr>
              <w:spacing w:after="0" w:line="240" w:lineRule="auto"/>
              <w:ind w:left="0" w:firstLine="0"/>
              <w:jc w:val="both"/>
              <w:outlineLvl w:val="0"/>
              <w:rPr>
                <w:rFonts w:ascii="Times New Roman" w:eastAsia="DengXian" w:hAnsi="Times New Roman" w:cs="Times New Roman"/>
                <w:b w:val="0"/>
                <w:sz w:val="18"/>
                <w:szCs w:val="18"/>
                <w:lang w:val="fr-FR"/>
              </w:rPr>
            </w:pPr>
          </w:p>
        </w:tc>
        <w:tc>
          <w:tcPr>
            <w:tcW w:w="991" w:type="dxa"/>
            <w:hideMark/>
          </w:tcPr>
          <w:p w14:paraId="69F9C8B1" w14:textId="77777777" w:rsidR="006D037B" w:rsidRPr="00E57AFD" w:rsidRDefault="006D037B" w:rsidP="00874521">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Avec TNC</w:t>
            </w:r>
          </w:p>
          <w:p w14:paraId="2E950EF6" w14:textId="77777777" w:rsidR="006D037B" w:rsidRPr="00E57AFD" w:rsidRDefault="006D037B" w:rsidP="00874521">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n=83</w:t>
            </w:r>
          </w:p>
        </w:tc>
        <w:tc>
          <w:tcPr>
            <w:tcW w:w="1134" w:type="dxa"/>
            <w:hideMark/>
          </w:tcPr>
          <w:p w14:paraId="276BB2FC" w14:textId="77777777" w:rsidR="006D037B" w:rsidRPr="00E57AFD" w:rsidRDefault="006D037B" w:rsidP="00874521">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Sans TNC</w:t>
            </w:r>
          </w:p>
          <w:p w14:paraId="69BE2930" w14:textId="77777777" w:rsidR="006D037B" w:rsidRPr="00E57AFD" w:rsidRDefault="006D037B" w:rsidP="00874521">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n=67</w:t>
            </w:r>
          </w:p>
        </w:tc>
        <w:tc>
          <w:tcPr>
            <w:tcW w:w="1134" w:type="dxa"/>
            <w:hideMark/>
          </w:tcPr>
          <w:p w14:paraId="3F3F06C1" w14:textId="77777777" w:rsidR="006D037B" w:rsidRPr="00E57AFD" w:rsidRDefault="006D037B" w:rsidP="00874521">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Avec TNC</w:t>
            </w:r>
          </w:p>
          <w:p w14:paraId="6FF2FEAA" w14:textId="77777777" w:rsidR="006D037B" w:rsidRPr="00E57AFD" w:rsidRDefault="006D037B" w:rsidP="00874521">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n=47</w:t>
            </w:r>
          </w:p>
        </w:tc>
        <w:tc>
          <w:tcPr>
            <w:tcW w:w="992" w:type="dxa"/>
            <w:hideMark/>
          </w:tcPr>
          <w:p w14:paraId="5820B6D1" w14:textId="77777777" w:rsidR="006D037B" w:rsidRPr="00E57AFD" w:rsidRDefault="006D037B" w:rsidP="00874521">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Sans TNC</w:t>
            </w:r>
          </w:p>
          <w:p w14:paraId="7A1261E3" w14:textId="77777777" w:rsidR="006D037B" w:rsidRPr="00E57AFD" w:rsidRDefault="006D037B" w:rsidP="00874521">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n=103</w:t>
            </w:r>
          </w:p>
        </w:tc>
        <w:tc>
          <w:tcPr>
            <w:tcW w:w="709" w:type="dxa"/>
            <w:vMerge/>
            <w:hideMark/>
          </w:tcPr>
          <w:p w14:paraId="2E424C3C" w14:textId="77777777" w:rsidR="006D037B" w:rsidRPr="00E57AFD" w:rsidRDefault="006D037B" w:rsidP="00874521">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p>
        </w:tc>
        <w:tc>
          <w:tcPr>
            <w:tcW w:w="1134" w:type="dxa"/>
            <w:vMerge/>
            <w:hideMark/>
          </w:tcPr>
          <w:p w14:paraId="40735C8F" w14:textId="77777777" w:rsidR="006D037B" w:rsidRPr="00E57AFD" w:rsidRDefault="006D037B" w:rsidP="00874521">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p>
        </w:tc>
        <w:tc>
          <w:tcPr>
            <w:tcW w:w="992" w:type="dxa"/>
            <w:vMerge/>
            <w:hideMark/>
          </w:tcPr>
          <w:p w14:paraId="24B2ADB9" w14:textId="77777777" w:rsidR="006D037B" w:rsidRPr="00E57AFD" w:rsidRDefault="006D037B" w:rsidP="00874521">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p>
        </w:tc>
      </w:tr>
      <w:tr w:rsidR="00E57AFD" w:rsidRPr="00E57AFD" w14:paraId="09F1D74D" w14:textId="77777777" w:rsidTr="00E57AFD">
        <w:tc>
          <w:tcPr>
            <w:cnfStyle w:val="001000000000" w:firstRow="0" w:lastRow="0" w:firstColumn="1" w:lastColumn="0" w:oddVBand="0" w:evenVBand="0" w:oddHBand="0" w:evenHBand="0" w:firstRowFirstColumn="0" w:firstRowLastColumn="0" w:lastRowFirstColumn="0" w:lastRowLastColumn="0"/>
            <w:tcW w:w="1809" w:type="dxa"/>
            <w:vMerge w:val="restart"/>
            <w:shd w:val="clear" w:color="auto" w:fill="FFFFFF" w:themeFill="background1"/>
            <w:hideMark/>
          </w:tcPr>
          <w:p w14:paraId="28BCA238"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Niveau d’instruction</w:t>
            </w:r>
          </w:p>
          <w:p w14:paraId="67A800CE"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(Bas/élevé)</w:t>
            </w:r>
          </w:p>
        </w:tc>
        <w:tc>
          <w:tcPr>
            <w:tcW w:w="990" w:type="dxa"/>
            <w:shd w:val="clear" w:color="auto" w:fill="FFFFFF" w:themeFill="background1"/>
            <w:hideMark/>
          </w:tcPr>
          <w:p w14:paraId="3333BD19"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Bas</w:t>
            </w:r>
          </w:p>
        </w:tc>
        <w:tc>
          <w:tcPr>
            <w:tcW w:w="991" w:type="dxa"/>
            <w:shd w:val="clear" w:color="auto" w:fill="FFFFFF" w:themeFill="background1"/>
            <w:hideMark/>
          </w:tcPr>
          <w:p w14:paraId="62EA2EE3"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25(30%)</w:t>
            </w:r>
          </w:p>
        </w:tc>
        <w:tc>
          <w:tcPr>
            <w:tcW w:w="1134" w:type="dxa"/>
            <w:shd w:val="clear" w:color="auto" w:fill="FFFFFF" w:themeFill="background1"/>
            <w:hideMark/>
          </w:tcPr>
          <w:p w14:paraId="4D15AD41"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26(39%)</w:t>
            </w:r>
          </w:p>
        </w:tc>
        <w:tc>
          <w:tcPr>
            <w:tcW w:w="1134" w:type="dxa"/>
            <w:shd w:val="clear" w:color="auto" w:fill="FFFFFF" w:themeFill="background1"/>
            <w:hideMark/>
          </w:tcPr>
          <w:p w14:paraId="53A47AF1"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28(60%)</w:t>
            </w:r>
          </w:p>
        </w:tc>
        <w:tc>
          <w:tcPr>
            <w:tcW w:w="992" w:type="dxa"/>
            <w:shd w:val="clear" w:color="auto" w:fill="FFFFFF" w:themeFill="background1"/>
            <w:hideMark/>
          </w:tcPr>
          <w:p w14:paraId="680D51B4"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61(59%)</w:t>
            </w:r>
          </w:p>
        </w:tc>
        <w:tc>
          <w:tcPr>
            <w:tcW w:w="709" w:type="dxa"/>
            <w:vMerge w:val="restart"/>
            <w:shd w:val="clear" w:color="auto" w:fill="FFFFFF" w:themeFill="background1"/>
            <w:hideMark/>
          </w:tcPr>
          <w:p w14:paraId="620464A5"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2,60</w:t>
            </w:r>
          </w:p>
        </w:tc>
        <w:tc>
          <w:tcPr>
            <w:tcW w:w="1134" w:type="dxa"/>
            <w:vMerge w:val="restart"/>
            <w:shd w:val="clear" w:color="auto" w:fill="FFFFFF" w:themeFill="background1"/>
            <w:hideMark/>
          </w:tcPr>
          <w:p w14:paraId="5D95EA40"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1,76-4,03</w:t>
            </w:r>
          </w:p>
        </w:tc>
        <w:tc>
          <w:tcPr>
            <w:tcW w:w="992" w:type="dxa"/>
            <w:vMerge w:val="restart"/>
            <w:shd w:val="clear" w:color="auto" w:fill="FFFFFF" w:themeFill="background1"/>
            <w:hideMark/>
          </w:tcPr>
          <w:p w14:paraId="5B48910F"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0,001</w:t>
            </w:r>
          </w:p>
        </w:tc>
      </w:tr>
      <w:tr w:rsidR="00E57AFD" w:rsidRPr="00E57AFD" w14:paraId="547DC995" w14:textId="77777777" w:rsidTr="00E57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vMerge/>
            <w:shd w:val="clear" w:color="auto" w:fill="FFFFFF" w:themeFill="background1"/>
            <w:hideMark/>
          </w:tcPr>
          <w:p w14:paraId="1DDD5933"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p>
        </w:tc>
        <w:tc>
          <w:tcPr>
            <w:tcW w:w="990" w:type="dxa"/>
            <w:shd w:val="clear" w:color="auto" w:fill="FFFFFF" w:themeFill="background1"/>
            <w:hideMark/>
          </w:tcPr>
          <w:p w14:paraId="4FB3C428"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Élevé</w:t>
            </w:r>
          </w:p>
        </w:tc>
        <w:tc>
          <w:tcPr>
            <w:tcW w:w="991" w:type="dxa"/>
            <w:shd w:val="clear" w:color="auto" w:fill="FFFFFF" w:themeFill="background1"/>
            <w:hideMark/>
          </w:tcPr>
          <w:p w14:paraId="3E790913"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58(70%)</w:t>
            </w:r>
          </w:p>
        </w:tc>
        <w:tc>
          <w:tcPr>
            <w:tcW w:w="1134" w:type="dxa"/>
            <w:shd w:val="clear" w:color="auto" w:fill="FFFFFF" w:themeFill="background1"/>
            <w:hideMark/>
          </w:tcPr>
          <w:p w14:paraId="445DEFE0"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41(61%)</w:t>
            </w:r>
          </w:p>
        </w:tc>
        <w:tc>
          <w:tcPr>
            <w:tcW w:w="1134" w:type="dxa"/>
            <w:shd w:val="clear" w:color="auto" w:fill="FFFFFF" w:themeFill="background1"/>
            <w:hideMark/>
          </w:tcPr>
          <w:p w14:paraId="62C83346"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19(40%)</w:t>
            </w:r>
          </w:p>
        </w:tc>
        <w:tc>
          <w:tcPr>
            <w:tcW w:w="992" w:type="dxa"/>
            <w:shd w:val="clear" w:color="auto" w:fill="FFFFFF" w:themeFill="background1"/>
            <w:hideMark/>
          </w:tcPr>
          <w:p w14:paraId="3563E889"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42(41%)</w:t>
            </w:r>
          </w:p>
        </w:tc>
        <w:tc>
          <w:tcPr>
            <w:tcW w:w="709" w:type="dxa"/>
            <w:vMerge/>
            <w:shd w:val="clear" w:color="auto" w:fill="FFFFFF" w:themeFill="background1"/>
            <w:hideMark/>
          </w:tcPr>
          <w:p w14:paraId="54DC9D05"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p>
        </w:tc>
        <w:tc>
          <w:tcPr>
            <w:tcW w:w="1134" w:type="dxa"/>
            <w:vMerge/>
            <w:shd w:val="clear" w:color="auto" w:fill="FFFFFF" w:themeFill="background1"/>
            <w:hideMark/>
          </w:tcPr>
          <w:p w14:paraId="2E80AD12"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p>
        </w:tc>
        <w:tc>
          <w:tcPr>
            <w:tcW w:w="992" w:type="dxa"/>
            <w:vMerge/>
            <w:shd w:val="clear" w:color="auto" w:fill="FFFFFF" w:themeFill="background1"/>
            <w:hideMark/>
          </w:tcPr>
          <w:p w14:paraId="197C66BB"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p>
        </w:tc>
      </w:tr>
      <w:tr w:rsidR="00E57AFD" w:rsidRPr="00E57AFD" w14:paraId="288E053F" w14:textId="77777777" w:rsidTr="00ED0EA2">
        <w:tc>
          <w:tcPr>
            <w:cnfStyle w:val="001000000000" w:firstRow="0" w:lastRow="0" w:firstColumn="1" w:lastColumn="0" w:oddVBand="0" w:evenVBand="0" w:oddHBand="0" w:evenHBand="0" w:firstRowFirstColumn="0" w:firstRowLastColumn="0" w:lastRowFirstColumn="0" w:lastRowLastColumn="0"/>
            <w:tcW w:w="2799" w:type="dxa"/>
            <w:gridSpan w:val="2"/>
            <w:hideMark/>
          </w:tcPr>
          <w:p w14:paraId="78AB3510"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HTA</w:t>
            </w:r>
          </w:p>
        </w:tc>
        <w:tc>
          <w:tcPr>
            <w:tcW w:w="991" w:type="dxa"/>
            <w:hideMark/>
          </w:tcPr>
          <w:p w14:paraId="5B1FA225"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67(81%)</w:t>
            </w:r>
          </w:p>
        </w:tc>
        <w:tc>
          <w:tcPr>
            <w:tcW w:w="1134" w:type="dxa"/>
            <w:hideMark/>
          </w:tcPr>
          <w:p w14:paraId="679C3EAE"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32(48%)</w:t>
            </w:r>
          </w:p>
        </w:tc>
        <w:tc>
          <w:tcPr>
            <w:tcW w:w="1134" w:type="dxa"/>
            <w:hideMark/>
          </w:tcPr>
          <w:p w14:paraId="701D7FDC"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42(89%)</w:t>
            </w:r>
          </w:p>
        </w:tc>
        <w:tc>
          <w:tcPr>
            <w:tcW w:w="992" w:type="dxa"/>
            <w:hideMark/>
          </w:tcPr>
          <w:p w14:paraId="36BF1548"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39(38%)</w:t>
            </w:r>
          </w:p>
        </w:tc>
        <w:tc>
          <w:tcPr>
            <w:tcW w:w="709" w:type="dxa"/>
            <w:hideMark/>
          </w:tcPr>
          <w:p w14:paraId="5BA03675"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1,50</w:t>
            </w:r>
          </w:p>
        </w:tc>
        <w:tc>
          <w:tcPr>
            <w:tcW w:w="1134" w:type="dxa"/>
            <w:hideMark/>
          </w:tcPr>
          <w:p w14:paraId="2C561566"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0,79-5,92</w:t>
            </w:r>
          </w:p>
        </w:tc>
        <w:tc>
          <w:tcPr>
            <w:tcW w:w="992" w:type="dxa"/>
            <w:hideMark/>
          </w:tcPr>
          <w:p w14:paraId="7D7FBD4C"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0,090</w:t>
            </w:r>
          </w:p>
        </w:tc>
      </w:tr>
      <w:tr w:rsidR="00E57AFD" w:rsidRPr="00E57AFD" w14:paraId="5A7644CF" w14:textId="77777777" w:rsidTr="00ED0E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9" w:type="dxa"/>
            <w:gridSpan w:val="2"/>
            <w:hideMark/>
          </w:tcPr>
          <w:p w14:paraId="6B6C0672"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Prise de l’alcool</w:t>
            </w:r>
          </w:p>
        </w:tc>
        <w:tc>
          <w:tcPr>
            <w:tcW w:w="991" w:type="dxa"/>
            <w:hideMark/>
          </w:tcPr>
          <w:p w14:paraId="2A4024F9"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9(11%)</w:t>
            </w:r>
          </w:p>
        </w:tc>
        <w:tc>
          <w:tcPr>
            <w:tcW w:w="1134" w:type="dxa"/>
            <w:hideMark/>
          </w:tcPr>
          <w:p w14:paraId="79D72B1C"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11(16%)</w:t>
            </w:r>
          </w:p>
        </w:tc>
        <w:tc>
          <w:tcPr>
            <w:tcW w:w="1134" w:type="dxa"/>
            <w:hideMark/>
          </w:tcPr>
          <w:p w14:paraId="4E9DDC63"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5(11%)</w:t>
            </w:r>
          </w:p>
        </w:tc>
        <w:tc>
          <w:tcPr>
            <w:tcW w:w="992" w:type="dxa"/>
            <w:hideMark/>
          </w:tcPr>
          <w:p w14:paraId="191CAEB0"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8(8%)</w:t>
            </w:r>
          </w:p>
        </w:tc>
        <w:tc>
          <w:tcPr>
            <w:tcW w:w="709" w:type="dxa"/>
            <w:hideMark/>
          </w:tcPr>
          <w:p w14:paraId="7C665EEA"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0,85</w:t>
            </w:r>
          </w:p>
        </w:tc>
        <w:tc>
          <w:tcPr>
            <w:tcW w:w="1134" w:type="dxa"/>
            <w:hideMark/>
          </w:tcPr>
          <w:p w14:paraId="7E54340F"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0,51-1,15</w:t>
            </w:r>
          </w:p>
        </w:tc>
        <w:tc>
          <w:tcPr>
            <w:tcW w:w="992" w:type="dxa"/>
            <w:hideMark/>
          </w:tcPr>
          <w:p w14:paraId="7F5E29CB"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0,371</w:t>
            </w:r>
          </w:p>
        </w:tc>
      </w:tr>
      <w:tr w:rsidR="00E57AFD" w:rsidRPr="00E57AFD" w14:paraId="36B926A1" w14:textId="77777777" w:rsidTr="00ED0EA2">
        <w:tc>
          <w:tcPr>
            <w:cnfStyle w:val="001000000000" w:firstRow="0" w:lastRow="0" w:firstColumn="1" w:lastColumn="0" w:oddVBand="0" w:evenVBand="0" w:oddHBand="0" w:evenHBand="0" w:firstRowFirstColumn="0" w:firstRowLastColumn="0" w:lastRowFirstColumn="0" w:lastRowLastColumn="0"/>
            <w:tcW w:w="2799" w:type="dxa"/>
            <w:gridSpan w:val="2"/>
            <w:hideMark/>
          </w:tcPr>
          <w:p w14:paraId="063AA0FB"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Prise de tabac</w:t>
            </w:r>
          </w:p>
        </w:tc>
        <w:tc>
          <w:tcPr>
            <w:tcW w:w="991" w:type="dxa"/>
            <w:hideMark/>
          </w:tcPr>
          <w:p w14:paraId="123E6041"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7(8%)</w:t>
            </w:r>
          </w:p>
        </w:tc>
        <w:tc>
          <w:tcPr>
            <w:tcW w:w="1134" w:type="dxa"/>
            <w:hideMark/>
          </w:tcPr>
          <w:p w14:paraId="7DFF5163"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4(6%)</w:t>
            </w:r>
          </w:p>
        </w:tc>
        <w:tc>
          <w:tcPr>
            <w:tcW w:w="1134" w:type="dxa"/>
            <w:hideMark/>
          </w:tcPr>
          <w:p w14:paraId="46E23083"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3(6%)</w:t>
            </w:r>
          </w:p>
        </w:tc>
        <w:tc>
          <w:tcPr>
            <w:tcW w:w="992" w:type="dxa"/>
            <w:hideMark/>
          </w:tcPr>
          <w:p w14:paraId="6E6BDAA4"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5(5%)</w:t>
            </w:r>
          </w:p>
        </w:tc>
        <w:tc>
          <w:tcPr>
            <w:tcW w:w="709" w:type="dxa"/>
            <w:hideMark/>
          </w:tcPr>
          <w:p w14:paraId="3AAFC99A"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1,42</w:t>
            </w:r>
          </w:p>
        </w:tc>
        <w:tc>
          <w:tcPr>
            <w:tcW w:w="1134" w:type="dxa"/>
            <w:hideMark/>
          </w:tcPr>
          <w:p w14:paraId="04D5F4E3"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0,42-4,99</w:t>
            </w:r>
          </w:p>
        </w:tc>
        <w:tc>
          <w:tcPr>
            <w:tcW w:w="992" w:type="dxa"/>
            <w:hideMark/>
          </w:tcPr>
          <w:p w14:paraId="1F205713"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0,547</w:t>
            </w:r>
          </w:p>
        </w:tc>
      </w:tr>
      <w:tr w:rsidR="00E57AFD" w:rsidRPr="00E57AFD" w14:paraId="68E5D87E" w14:textId="77777777" w:rsidTr="00ED0E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9" w:type="dxa"/>
            <w:gridSpan w:val="2"/>
            <w:hideMark/>
          </w:tcPr>
          <w:p w14:paraId="780BC733"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Hypercholestérolémie totale</w:t>
            </w:r>
          </w:p>
        </w:tc>
        <w:tc>
          <w:tcPr>
            <w:tcW w:w="991" w:type="dxa"/>
            <w:hideMark/>
          </w:tcPr>
          <w:p w14:paraId="76E5F220"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11(13%)</w:t>
            </w:r>
          </w:p>
        </w:tc>
        <w:tc>
          <w:tcPr>
            <w:tcW w:w="1134" w:type="dxa"/>
            <w:hideMark/>
          </w:tcPr>
          <w:p w14:paraId="6E86A68A"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7(11%)</w:t>
            </w:r>
          </w:p>
        </w:tc>
        <w:tc>
          <w:tcPr>
            <w:tcW w:w="1134" w:type="dxa"/>
            <w:hideMark/>
          </w:tcPr>
          <w:p w14:paraId="3EAFF225"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6(13%)</w:t>
            </w:r>
          </w:p>
        </w:tc>
        <w:tc>
          <w:tcPr>
            <w:tcW w:w="992" w:type="dxa"/>
            <w:hideMark/>
          </w:tcPr>
          <w:p w14:paraId="7EE95293"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5(5%)</w:t>
            </w:r>
          </w:p>
        </w:tc>
        <w:tc>
          <w:tcPr>
            <w:tcW w:w="709" w:type="dxa"/>
            <w:hideMark/>
          </w:tcPr>
          <w:p w14:paraId="5811C923"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2,21</w:t>
            </w:r>
          </w:p>
        </w:tc>
        <w:tc>
          <w:tcPr>
            <w:tcW w:w="1134" w:type="dxa"/>
            <w:hideMark/>
          </w:tcPr>
          <w:p w14:paraId="3D5E27BF"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0,82-5,85</w:t>
            </w:r>
          </w:p>
        </w:tc>
        <w:tc>
          <w:tcPr>
            <w:tcW w:w="992" w:type="dxa"/>
            <w:hideMark/>
          </w:tcPr>
          <w:p w14:paraId="602790AB"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0,122</w:t>
            </w:r>
          </w:p>
        </w:tc>
      </w:tr>
      <w:tr w:rsidR="00E57AFD" w:rsidRPr="00E57AFD" w14:paraId="6EDEF605" w14:textId="77777777" w:rsidTr="00ED0EA2">
        <w:tc>
          <w:tcPr>
            <w:cnfStyle w:val="001000000000" w:firstRow="0" w:lastRow="0" w:firstColumn="1" w:lastColumn="0" w:oddVBand="0" w:evenVBand="0" w:oddHBand="0" w:evenHBand="0" w:firstRowFirstColumn="0" w:firstRowLastColumn="0" w:lastRowFirstColumn="0" w:lastRowLastColumn="0"/>
            <w:tcW w:w="2799" w:type="dxa"/>
            <w:gridSpan w:val="2"/>
            <w:hideMark/>
          </w:tcPr>
          <w:p w14:paraId="54AF5AF3"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Hyper LDL</w:t>
            </w:r>
          </w:p>
        </w:tc>
        <w:tc>
          <w:tcPr>
            <w:tcW w:w="991" w:type="dxa"/>
            <w:hideMark/>
          </w:tcPr>
          <w:p w14:paraId="6640FBCF"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27(33%)</w:t>
            </w:r>
          </w:p>
        </w:tc>
        <w:tc>
          <w:tcPr>
            <w:tcW w:w="1134" w:type="dxa"/>
            <w:hideMark/>
          </w:tcPr>
          <w:p w14:paraId="660924BD"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19(28%)</w:t>
            </w:r>
          </w:p>
        </w:tc>
        <w:tc>
          <w:tcPr>
            <w:tcW w:w="1134" w:type="dxa"/>
            <w:hideMark/>
          </w:tcPr>
          <w:p w14:paraId="07D3601F"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14(30%)</w:t>
            </w:r>
          </w:p>
        </w:tc>
        <w:tc>
          <w:tcPr>
            <w:tcW w:w="992" w:type="dxa"/>
            <w:hideMark/>
          </w:tcPr>
          <w:p w14:paraId="531B4998"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14(14%)</w:t>
            </w:r>
          </w:p>
        </w:tc>
        <w:tc>
          <w:tcPr>
            <w:tcW w:w="709" w:type="dxa"/>
            <w:hideMark/>
          </w:tcPr>
          <w:p w14:paraId="58E33F3C"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2,11</w:t>
            </w:r>
          </w:p>
        </w:tc>
        <w:tc>
          <w:tcPr>
            <w:tcW w:w="1134" w:type="dxa"/>
            <w:hideMark/>
          </w:tcPr>
          <w:p w14:paraId="20FDB3AB"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0,21-4,08</w:t>
            </w:r>
          </w:p>
        </w:tc>
        <w:tc>
          <w:tcPr>
            <w:tcW w:w="992" w:type="dxa"/>
            <w:hideMark/>
          </w:tcPr>
          <w:p w14:paraId="3FE27CEA"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0,849</w:t>
            </w:r>
          </w:p>
        </w:tc>
      </w:tr>
      <w:tr w:rsidR="00E57AFD" w:rsidRPr="00E57AFD" w14:paraId="7E53587B" w14:textId="77777777" w:rsidTr="00ED0E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9" w:type="dxa"/>
            <w:gridSpan w:val="2"/>
            <w:hideMark/>
          </w:tcPr>
          <w:p w14:paraId="7A9115EC"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Hypertriglycéridémie</w:t>
            </w:r>
          </w:p>
        </w:tc>
        <w:tc>
          <w:tcPr>
            <w:tcW w:w="991" w:type="dxa"/>
            <w:hideMark/>
          </w:tcPr>
          <w:p w14:paraId="2B030588"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2(2%)</w:t>
            </w:r>
          </w:p>
        </w:tc>
        <w:tc>
          <w:tcPr>
            <w:tcW w:w="1134" w:type="dxa"/>
            <w:hideMark/>
          </w:tcPr>
          <w:p w14:paraId="2DF8038E"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5(8%)</w:t>
            </w:r>
          </w:p>
        </w:tc>
        <w:tc>
          <w:tcPr>
            <w:tcW w:w="1134" w:type="dxa"/>
            <w:hideMark/>
          </w:tcPr>
          <w:p w14:paraId="1EAD2D90"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3(6%)</w:t>
            </w:r>
          </w:p>
        </w:tc>
        <w:tc>
          <w:tcPr>
            <w:tcW w:w="992" w:type="dxa"/>
            <w:hideMark/>
          </w:tcPr>
          <w:p w14:paraId="74B9B205"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4(4%)</w:t>
            </w:r>
          </w:p>
        </w:tc>
        <w:tc>
          <w:tcPr>
            <w:tcW w:w="709" w:type="dxa"/>
            <w:hideMark/>
          </w:tcPr>
          <w:p w14:paraId="12EF5950"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3,13</w:t>
            </w:r>
          </w:p>
        </w:tc>
        <w:tc>
          <w:tcPr>
            <w:tcW w:w="1134" w:type="dxa"/>
            <w:hideMark/>
          </w:tcPr>
          <w:p w14:paraId="03421055"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0,62-6,61</w:t>
            </w:r>
          </w:p>
        </w:tc>
        <w:tc>
          <w:tcPr>
            <w:tcW w:w="992" w:type="dxa"/>
            <w:hideMark/>
          </w:tcPr>
          <w:p w14:paraId="18793E2F"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0,168</w:t>
            </w:r>
          </w:p>
        </w:tc>
      </w:tr>
      <w:tr w:rsidR="00E57AFD" w:rsidRPr="00E57AFD" w14:paraId="63EFC2A6" w14:textId="77777777" w:rsidTr="00ED0EA2">
        <w:tc>
          <w:tcPr>
            <w:cnfStyle w:val="001000000000" w:firstRow="0" w:lastRow="0" w:firstColumn="1" w:lastColumn="0" w:oddVBand="0" w:evenVBand="0" w:oddHBand="0" w:evenHBand="0" w:firstRowFirstColumn="0" w:firstRowLastColumn="0" w:lastRowFirstColumn="0" w:lastRowLastColumn="0"/>
            <w:tcW w:w="2799" w:type="dxa"/>
            <w:gridSpan w:val="2"/>
            <w:hideMark/>
          </w:tcPr>
          <w:p w14:paraId="5E765B7F"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Obésité</w:t>
            </w:r>
          </w:p>
        </w:tc>
        <w:tc>
          <w:tcPr>
            <w:tcW w:w="991" w:type="dxa"/>
            <w:hideMark/>
          </w:tcPr>
          <w:p w14:paraId="7DA0F7DE"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31(37%)</w:t>
            </w:r>
          </w:p>
        </w:tc>
        <w:tc>
          <w:tcPr>
            <w:tcW w:w="1134" w:type="dxa"/>
            <w:hideMark/>
          </w:tcPr>
          <w:p w14:paraId="2351EC99"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14(21%)</w:t>
            </w:r>
          </w:p>
        </w:tc>
        <w:tc>
          <w:tcPr>
            <w:tcW w:w="1134" w:type="dxa"/>
            <w:hideMark/>
          </w:tcPr>
          <w:p w14:paraId="18EE6142"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19(40%)</w:t>
            </w:r>
          </w:p>
        </w:tc>
        <w:tc>
          <w:tcPr>
            <w:tcW w:w="992" w:type="dxa"/>
            <w:hideMark/>
          </w:tcPr>
          <w:p w14:paraId="0C15D2E2"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26(25%)</w:t>
            </w:r>
          </w:p>
        </w:tc>
        <w:tc>
          <w:tcPr>
            <w:tcW w:w="709" w:type="dxa"/>
            <w:hideMark/>
          </w:tcPr>
          <w:p w14:paraId="3C47DA87"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1,54</w:t>
            </w:r>
          </w:p>
        </w:tc>
        <w:tc>
          <w:tcPr>
            <w:tcW w:w="1134" w:type="dxa"/>
            <w:hideMark/>
          </w:tcPr>
          <w:p w14:paraId="2B975040"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0,84-2,86</w:t>
            </w:r>
          </w:p>
        </w:tc>
        <w:tc>
          <w:tcPr>
            <w:tcW w:w="992" w:type="dxa"/>
            <w:hideMark/>
          </w:tcPr>
          <w:p w14:paraId="66EE6D9B"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0,148</w:t>
            </w:r>
          </w:p>
        </w:tc>
      </w:tr>
      <w:tr w:rsidR="00E57AFD" w:rsidRPr="00E57AFD" w14:paraId="38343DA5" w14:textId="77777777" w:rsidTr="00ED0E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9" w:type="dxa"/>
            <w:gridSpan w:val="2"/>
            <w:hideMark/>
          </w:tcPr>
          <w:p w14:paraId="000B575D"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Ionogramme sanguin perturbé</w:t>
            </w:r>
          </w:p>
        </w:tc>
        <w:tc>
          <w:tcPr>
            <w:tcW w:w="991" w:type="dxa"/>
            <w:hideMark/>
          </w:tcPr>
          <w:p w14:paraId="4E234454"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11(13%)</w:t>
            </w:r>
          </w:p>
        </w:tc>
        <w:tc>
          <w:tcPr>
            <w:tcW w:w="1134" w:type="dxa"/>
            <w:hideMark/>
          </w:tcPr>
          <w:p w14:paraId="3A01378A"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4(6%)</w:t>
            </w:r>
          </w:p>
        </w:tc>
        <w:tc>
          <w:tcPr>
            <w:tcW w:w="1134" w:type="dxa"/>
            <w:hideMark/>
          </w:tcPr>
          <w:p w14:paraId="5BBC7542"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2(4%)</w:t>
            </w:r>
          </w:p>
        </w:tc>
        <w:tc>
          <w:tcPr>
            <w:tcW w:w="992" w:type="dxa"/>
            <w:hideMark/>
          </w:tcPr>
          <w:p w14:paraId="67EB53CB"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0(0%)</w:t>
            </w:r>
          </w:p>
        </w:tc>
        <w:tc>
          <w:tcPr>
            <w:tcW w:w="709" w:type="dxa"/>
            <w:hideMark/>
          </w:tcPr>
          <w:p w14:paraId="49FA8563"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2,25</w:t>
            </w:r>
          </w:p>
        </w:tc>
        <w:tc>
          <w:tcPr>
            <w:tcW w:w="1134" w:type="dxa"/>
            <w:hideMark/>
          </w:tcPr>
          <w:p w14:paraId="2ADBFD5C"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0,72-4,76</w:t>
            </w:r>
          </w:p>
        </w:tc>
        <w:tc>
          <w:tcPr>
            <w:tcW w:w="992" w:type="dxa"/>
            <w:hideMark/>
          </w:tcPr>
          <w:p w14:paraId="54937675"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0,091</w:t>
            </w:r>
          </w:p>
        </w:tc>
      </w:tr>
      <w:tr w:rsidR="00E57AFD" w:rsidRPr="00E57AFD" w14:paraId="3F5615E6" w14:textId="77777777" w:rsidTr="00ED0EA2">
        <w:tc>
          <w:tcPr>
            <w:cnfStyle w:val="001000000000" w:firstRow="0" w:lastRow="0" w:firstColumn="1" w:lastColumn="0" w:oddVBand="0" w:evenVBand="0" w:oddHBand="0" w:evenHBand="0" w:firstRowFirstColumn="0" w:firstRowLastColumn="0" w:lastRowFirstColumn="0" w:lastRowLastColumn="0"/>
            <w:tcW w:w="2799" w:type="dxa"/>
            <w:gridSpan w:val="2"/>
            <w:hideMark/>
          </w:tcPr>
          <w:p w14:paraId="472DC64C"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Cardiopathie</w:t>
            </w:r>
          </w:p>
        </w:tc>
        <w:tc>
          <w:tcPr>
            <w:tcW w:w="991" w:type="dxa"/>
            <w:hideMark/>
          </w:tcPr>
          <w:p w14:paraId="421D25E7"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18(22%)</w:t>
            </w:r>
          </w:p>
        </w:tc>
        <w:tc>
          <w:tcPr>
            <w:tcW w:w="1134" w:type="dxa"/>
            <w:hideMark/>
          </w:tcPr>
          <w:p w14:paraId="7343F604"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9(13%)</w:t>
            </w:r>
          </w:p>
        </w:tc>
        <w:tc>
          <w:tcPr>
            <w:tcW w:w="1134" w:type="dxa"/>
            <w:hideMark/>
          </w:tcPr>
          <w:p w14:paraId="1141F543"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4(9%)</w:t>
            </w:r>
          </w:p>
        </w:tc>
        <w:tc>
          <w:tcPr>
            <w:tcW w:w="992" w:type="dxa"/>
            <w:hideMark/>
          </w:tcPr>
          <w:p w14:paraId="2A6ABDEB"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0(0%)</w:t>
            </w:r>
          </w:p>
        </w:tc>
        <w:tc>
          <w:tcPr>
            <w:tcW w:w="709" w:type="dxa"/>
            <w:hideMark/>
          </w:tcPr>
          <w:p w14:paraId="5C04AB26"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1,26</w:t>
            </w:r>
          </w:p>
        </w:tc>
        <w:tc>
          <w:tcPr>
            <w:tcW w:w="1134" w:type="dxa"/>
            <w:hideMark/>
          </w:tcPr>
          <w:p w14:paraId="3A26B549"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0,71-2,75</w:t>
            </w:r>
          </w:p>
        </w:tc>
        <w:tc>
          <w:tcPr>
            <w:tcW w:w="992" w:type="dxa"/>
            <w:hideMark/>
          </w:tcPr>
          <w:p w14:paraId="7A057B3F"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0,225</w:t>
            </w:r>
          </w:p>
        </w:tc>
      </w:tr>
      <w:tr w:rsidR="00E57AFD" w:rsidRPr="00E57AFD" w14:paraId="11BB9A00" w14:textId="77777777" w:rsidTr="00ED0E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9" w:type="dxa"/>
            <w:gridSpan w:val="2"/>
          </w:tcPr>
          <w:p w14:paraId="6492F5B0"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Diabète</w:t>
            </w:r>
          </w:p>
        </w:tc>
        <w:tc>
          <w:tcPr>
            <w:tcW w:w="991" w:type="dxa"/>
          </w:tcPr>
          <w:p w14:paraId="74E858AC"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30(36%)</w:t>
            </w:r>
          </w:p>
        </w:tc>
        <w:tc>
          <w:tcPr>
            <w:tcW w:w="1134" w:type="dxa"/>
          </w:tcPr>
          <w:p w14:paraId="109EA25E"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21(31%)</w:t>
            </w:r>
          </w:p>
        </w:tc>
        <w:tc>
          <w:tcPr>
            <w:tcW w:w="1134" w:type="dxa"/>
          </w:tcPr>
          <w:p w14:paraId="30C7A892"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20(43%)</w:t>
            </w:r>
          </w:p>
        </w:tc>
        <w:tc>
          <w:tcPr>
            <w:tcW w:w="992" w:type="dxa"/>
          </w:tcPr>
          <w:p w14:paraId="769ABA42"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24(23%)</w:t>
            </w:r>
          </w:p>
        </w:tc>
        <w:tc>
          <w:tcPr>
            <w:tcW w:w="709" w:type="dxa"/>
          </w:tcPr>
          <w:p w14:paraId="28E87249"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1,56</w:t>
            </w:r>
          </w:p>
        </w:tc>
        <w:tc>
          <w:tcPr>
            <w:tcW w:w="1134" w:type="dxa"/>
          </w:tcPr>
          <w:p w14:paraId="78751B2E"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0,84-2,88</w:t>
            </w:r>
          </w:p>
        </w:tc>
        <w:tc>
          <w:tcPr>
            <w:tcW w:w="992" w:type="dxa"/>
          </w:tcPr>
          <w:p w14:paraId="3FA0AA8C"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0,127</w:t>
            </w:r>
          </w:p>
        </w:tc>
      </w:tr>
      <w:tr w:rsidR="00E57AFD" w:rsidRPr="00E57AFD" w14:paraId="3CE956FF" w14:textId="77777777" w:rsidTr="00ED0EA2">
        <w:tc>
          <w:tcPr>
            <w:cnfStyle w:val="001000000000" w:firstRow="0" w:lastRow="0" w:firstColumn="1" w:lastColumn="0" w:oddVBand="0" w:evenVBand="0" w:oddHBand="0" w:evenHBand="0" w:firstRowFirstColumn="0" w:firstRowLastColumn="0" w:lastRowFirstColumn="0" w:lastRowLastColumn="0"/>
            <w:tcW w:w="2799" w:type="dxa"/>
            <w:gridSpan w:val="2"/>
          </w:tcPr>
          <w:p w14:paraId="650F9D02"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AVC</w:t>
            </w:r>
          </w:p>
        </w:tc>
        <w:tc>
          <w:tcPr>
            <w:tcW w:w="991" w:type="dxa"/>
          </w:tcPr>
          <w:p w14:paraId="2307399C"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5(6%)</w:t>
            </w:r>
          </w:p>
        </w:tc>
        <w:tc>
          <w:tcPr>
            <w:tcW w:w="1134" w:type="dxa"/>
          </w:tcPr>
          <w:p w14:paraId="6739CE04"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2(3%)</w:t>
            </w:r>
          </w:p>
        </w:tc>
        <w:tc>
          <w:tcPr>
            <w:tcW w:w="1134" w:type="dxa"/>
          </w:tcPr>
          <w:p w14:paraId="2FA16012"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9(19%)</w:t>
            </w:r>
          </w:p>
        </w:tc>
        <w:tc>
          <w:tcPr>
            <w:tcW w:w="992" w:type="dxa"/>
          </w:tcPr>
          <w:p w14:paraId="5CEF6C9A"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5(5%)</w:t>
            </w:r>
          </w:p>
        </w:tc>
        <w:tc>
          <w:tcPr>
            <w:tcW w:w="709" w:type="dxa"/>
          </w:tcPr>
          <w:p w14:paraId="68263685"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1,28</w:t>
            </w:r>
          </w:p>
        </w:tc>
        <w:tc>
          <w:tcPr>
            <w:tcW w:w="1134" w:type="dxa"/>
          </w:tcPr>
          <w:p w14:paraId="1D067FB5"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0,72-32,74</w:t>
            </w:r>
          </w:p>
        </w:tc>
        <w:tc>
          <w:tcPr>
            <w:tcW w:w="992" w:type="dxa"/>
          </w:tcPr>
          <w:p w14:paraId="1D5E121B" w14:textId="77777777" w:rsidR="00E57AFD" w:rsidRPr="00E57AFD" w:rsidRDefault="00E57AFD" w:rsidP="00E57AFD">
            <w:pPr>
              <w:spacing w:after="0" w:line="240" w:lineRule="auto"/>
              <w:ind w:left="0" w:firstLine="0"/>
              <w:jc w:val="both"/>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0,092</w:t>
            </w:r>
          </w:p>
        </w:tc>
      </w:tr>
      <w:tr w:rsidR="00E57AFD" w:rsidRPr="00E57AFD" w14:paraId="7CCE4F0E" w14:textId="77777777" w:rsidTr="00E57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9" w:type="dxa"/>
            <w:gridSpan w:val="2"/>
            <w:tcBorders>
              <w:bottom w:val="single" w:sz="4" w:space="0" w:color="auto"/>
            </w:tcBorders>
          </w:tcPr>
          <w:p w14:paraId="5EBB4F86"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 xml:space="preserve">Insuffisance rénale </w:t>
            </w:r>
          </w:p>
        </w:tc>
        <w:tc>
          <w:tcPr>
            <w:tcW w:w="991" w:type="dxa"/>
            <w:tcBorders>
              <w:bottom w:val="single" w:sz="4" w:space="0" w:color="auto"/>
            </w:tcBorders>
          </w:tcPr>
          <w:p w14:paraId="52E6AE2E"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0(0%)</w:t>
            </w:r>
          </w:p>
        </w:tc>
        <w:tc>
          <w:tcPr>
            <w:tcW w:w="1134" w:type="dxa"/>
            <w:tcBorders>
              <w:bottom w:val="single" w:sz="4" w:space="0" w:color="auto"/>
            </w:tcBorders>
          </w:tcPr>
          <w:p w14:paraId="76B50721"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3(5%)</w:t>
            </w:r>
          </w:p>
        </w:tc>
        <w:tc>
          <w:tcPr>
            <w:tcW w:w="1134" w:type="dxa"/>
            <w:tcBorders>
              <w:bottom w:val="single" w:sz="4" w:space="0" w:color="auto"/>
            </w:tcBorders>
          </w:tcPr>
          <w:p w14:paraId="19DF76D3"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9(19%)</w:t>
            </w:r>
          </w:p>
        </w:tc>
        <w:tc>
          <w:tcPr>
            <w:tcW w:w="992" w:type="dxa"/>
            <w:tcBorders>
              <w:bottom w:val="single" w:sz="4" w:space="0" w:color="auto"/>
            </w:tcBorders>
          </w:tcPr>
          <w:p w14:paraId="2CDE3D9E"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5(5%)</w:t>
            </w:r>
          </w:p>
        </w:tc>
        <w:tc>
          <w:tcPr>
            <w:tcW w:w="709" w:type="dxa"/>
            <w:tcBorders>
              <w:bottom w:val="single" w:sz="4" w:space="0" w:color="auto"/>
            </w:tcBorders>
          </w:tcPr>
          <w:p w14:paraId="64EE9C61"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2,28</w:t>
            </w:r>
          </w:p>
        </w:tc>
        <w:tc>
          <w:tcPr>
            <w:tcW w:w="1134" w:type="dxa"/>
            <w:tcBorders>
              <w:bottom w:val="single" w:sz="4" w:space="0" w:color="auto"/>
            </w:tcBorders>
          </w:tcPr>
          <w:p w14:paraId="30F2281B"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0,72-4,74</w:t>
            </w:r>
          </w:p>
        </w:tc>
        <w:tc>
          <w:tcPr>
            <w:tcW w:w="992" w:type="dxa"/>
            <w:tcBorders>
              <w:bottom w:val="single" w:sz="4" w:space="0" w:color="auto"/>
            </w:tcBorders>
          </w:tcPr>
          <w:p w14:paraId="54F958BE" w14:textId="77777777" w:rsidR="00E57AFD" w:rsidRPr="00E57AFD" w:rsidRDefault="00E57AFD" w:rsidP="00E57AFD">
            <w:pPr>
              <w:spacing w:after="0" w:line="240" w:lineRule="auto"/>
              <w:ind w:left="0" w:firstLine="0"/>
              <w:jc w:val="both"/>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0,096</w:t>
            </w:r>
          </w:p>
        </w:tc>
      </w:tr>
      <w:tr w:rsidR="00E57AFD" w:rsidRPr="00E57AFD" w14:paraId="398FA503" w14:textId="77777777" w:rsidTr="00E57AFD">
        <w:tc>
          <w:tcPr>
            <w:cnfStyle w:val="001000000000" w:firstRow="0" w:lastRow="0" w:firstColumn="1" w:lastColumn="0" w:oddVBand="0" w:evenVBand="0" w:oddHBand="0" w:evenHBand="0" w:firstRowFirstColumn="0" w:firstRowLastColumn="0" w:lastRowFirstColumn="0" w:lastRowLastColumn="0"/>
            <w:tcW w:w="9885" w:type="dxa"/>
            <w:gridSpan w:val="9"/>
            <w:tcBorders>
              <w:top w:val="single" w:sz="4" w:space="0" w:color="auto"/>
              <w:bottom w:val="nil"/>
            </w:tcBorders>
            <w:shd w:val="clear" w:color="auto" w:fill="FFFFFF" w:themeFill="background1"/>
          </w:tcPr>
          <w:p w14:paraId="11BBCAB8"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6"/>
                <w:szCs w:val="16"/>
                <w:lang w:val="fr-FR"/>
              </w:rPr>
            </w:pPr>
            <w:r w:rsidRPr="00E57AFD">
              <w:rPr>
                <w:rFonts w:ascii="Times New Roman" w:eastAsia="DengXian" w:hAnsi="Times New Roman" w:cs="Times New Roman"/>
                <w:b w:val="0"/>
                <w:bCs w:val="0"/>
                <w:sz w:val="16"/>
                <w:szCs w:val="16"/>
                <w:lang w:val="fr-FR"/>
              </w:rPr>
              <w:t xml:space="preserve">Bas niveau d’étude : analphabète/études primaires/études secondaires et humanités  </w:t>
            </w:r>
          </w:p>
          <w:p w14:paraId="6C5CA76B"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sz w:val="18"/>
                <w:szCs w:val="18"/>
                <w:lang w:val="fr-FR"/>
              </w:rPr>
            </w:pPr>
            <w:r w:rsidRPr="00E57AFD">
              <w:rPr>
                <w:rFonts w:ascii="Times New Roman" w:eastAsia="DengXian" w:hAnsi="Times New Roman" w:cs="Times New Roman"/>
                <w:b w:val="0"/>
                <w:bCs w:val="0"/>
                <w:sz w:val="16"/>
                <w:szCs w:val="16"/>
                <w:lang w:val="fr-FR"/>
              </w:rPr>
              <w:t>Niveau d’étude élevé : études supérieures/universitaires</w:t>
            </w:r>
          </w:p>
        </w:tc>
      </w:tr>
    </w:tbl>
    <w:p w14:paraId="589E97C7" w14:textId="77777777" w:rsidR="00E57AFD" w:rsidRDefault="00E57AFD" w:rsidP="00E0076E">
      <w:pPr>
        <w:spacing w:after="0" w:line="240" w:lineRule="auto"/>
        <w:ind w:left="0" w:firstLine="0"/>
        <w:jc w:val="both"/>
        <w:outlineLvl w:val="0"/>
        <w:rPr>
          <w:rFonts w:ascii="Times New Roman" w:eastAsia="DengXian" w:hAnsi="Times New Roman" w:cs="Times New Roman"/>
          <w:bCs/>
          <w:sz w:val="20"/>
          <w:szCs w:val="20"/>
        </w:rPr>
        <w:sectPr w:rsidR="00E57AFD" w:rsidSect="00E57AFD">
          <w:type w:val="continuous"/>
          <w:pgSz w:w="11906" w:h="16838"/>
          <w:pgMar w:top="1134" w:right="851" w:bottom="1418" w:left="1134" w:header="720" w:footer="708" w:gutter="0"/>
          <w:cols w:space="720"/>
          <w:docGrid w:linePitch="326"/>
        </w:sectPr>
      </w:pPr>
    </w:p>
    <w:tbl>
      <w:tblPr>
        <w:tblStyle w:val="TableauListe6Couleur-Accentuation1"/>
        <w:tblW w:w="5000" w:type="pct"/>
        <w:tblLook w:val="04A0" w:firstRow="1" w:lastRow="0" w:firstColumn="1" w:lastColumn="0" w:noHBand="0" w:noVBand="1"/>
      </w:tblPr>
      <w:tblGrid>
        <w:gridCol w:w="1757"/>
        <w:gridCol w:w="319"/>
        <w:gridCol w:w="149"/>
        <w:gridCol w:w="1635"/>
        <w:gridCol w:w="1635"/>
        <w:gridCol w:w="1458"/>
        <w:gridCol w:w="744"/>
        <w:gridCol w:w="1337"/>
        <w:gridCol w:w="887"/>
      </w:tblGrid>
      <w:tr w:rsidR="00E57AFD" w:rsidRPr="00E57AFD" w14:paraId="7D8C713F" w14:textId="77777777" w:rsidTr="00E57A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9"/>
          </w:tcPr>
          <w:p w14:paraId="4778BA35"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sz w:val="18"/>
                <w:szCs w:val="18"/>
                <w:lang w:val="fr-FR"/>
              </w:rPr>
            </w:pPr>
            <w:r w:rsidRPr="00E57AFD">
              <w:rPr>
                <w:rFonts w:ascii="Times New Roman" w:eastAsia="DengXian" w:hAnsi="Times New Roman" w:cs="Times New Roman"/>
                <w:sz w:val="18"/>
                <w:szCs w:val="18"/>
                <w:lang w:val="fr-FR"/>
              </w:rPr>
              <w:t>Tableau III : Analyse des différentes variables chez les patients épileptiques</w:t>
            </w:r>
            <w:r w:rsidRPr="00E57AFD">
              <w:rPr>
                <w:rFonts w:ascii="Times New Roman" w:eastAsia="DengXian" w:hAnsi="Times New Roman" w:cs="Times New Roman"/>
                <w:sz w:val="18"/>
                <w:szCs w:val="18"/>
                <w:lang w:val="fr-FR"/>
              </w:rPr>
              <w:tab/>
            </w:r>
          </w:p>
        </w:tc>
      </w:tr>
      <w:tr w:rsidR="00E57AFD" w:rsidRPr="00E57AFD" w14:paraId="53126082" w14:textId="77777777" w:rsidTr="00E57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45" w:type="pct"/>
            <w:gridSpan w:val="4"/>
            <w:vMerge w:val="restart"/>
            <w:hideMark/>
          </w:tcPr>
          <w:p w14:paraId="0FE1709B"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sz w:val="18"/>
                <w:szCs w:val="18"/>
                <w:lang w:val="fr-FR"/>
              </w:rPr>
            </w:pPr>
            <w:r w:rsidRPr="00E57AFD">
              <w:rPr>
                <w:rFonts w:ascii="Times New Roman" w:eastAsia="DengXian" w:hAnsi="Times New Roman" w:cs="Times New Roman"/>
                <w:sz w:val="18"/>
                <w:szCs w:val="18"/>
                <w:lang w:val="fr-FR"/>
              </w:rPr>
              <w:t>Variables</w:t>
            </w:r>
          </w:p>
        </w:tc>
        <w:tc>
          <w:tcPr>
            <w:tcW w:w="1559" w:type="pct"/>
            <w:gridSpan w:val="2"/>
            <w:hideMark/>
          </w:tcPr>
          <w:p w14:paraId="56A9A161"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Patients épileptiques</w:t>
            </w:r>
          </w:p>
        </w:tc>
        <w:tc>
          <w:tcPr>
            <w:tcW w:w="375" w:type="pct"/>
            <w:vMerge w:val="restart"/>
            <w:hideMark/>
          </w:tcPr>
          <w:p w14:paraId="44A0F37C"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OR</w:t>
            </w:r>
          </w:p>
        </w:tc>
        <w:tc>
          <w:tcPr>
            <w:tcW w:w="674" w:type="pct"/>
            <w:vMerge w:val="restart"/>
            <w:hideMark/>
          </w:tcPr>
          <w:p w14:paraId="6DA9AF71"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IC95%</w:t>
            </w:r>
          </w:p>
        </w:tc>
        <w:tc>
          <w:tcPr>
            <w:tcW w:w="448" w:type="pct"/>
            <w:vMerge w:val="restart"/>
            <w:hideMark/>
          </w:tcPr>
          <w:p w14:paraId="21BC6243"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P</w:t>
            </w:r>
          </w:p>
        </w:tc>
      </w:tr>
      <w:tr w:rsidR="00E57AFD" w:rsidRPr="00E57AFD" w14:paraId="6D6EDFE3" w14:textId="77777777" w:rsidTr="00E57AFD">
        <w:tc>
          <w:tcPr>
            <w:cnfStyle w:val="001000000000" w:firstRow="0" w:lastRow="0" w:firstColumn="1" w:lastColumn="0" w:oddVBand="0" w:evenVBand="0" w:oddHBand="0" w:evenHBand="0" w:firstRowFirstColumn="0" w:firstRowLastColumn="0" w:lastRowFirstColumn="0" w:lastRowLastColumn="0"/>
            <w:tcW w:w="1945" w:type="pct"/>
            <w:gridSpan w:val="4"/>
            <w:vMerge/>
            <w:hideMark/>
          </w:tcPr>
          <w:p w14:paraId="030D2F9A"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sz w:val="18"/>
                <w:szCs w:val="18"/>
                <w:lang w:val="fr-FR"/>
              </w:rPr>
            </w:pPr>
          </w:p>
        </w:tc>
        <w:tc>
          <w:tcPr>
            <w:tcW w:w="824" w:type="pct"/>
            <w:hideMark/>
          </w:tcPr>
          <w:p w14:paraId="2BE7C84A"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Avec TN</w:t>
            </w:r>
          </w:p>
          <w:p w14:paraId="75FB9234"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n=83</w:t>
            </w:r>
          </w:p>
        </w:tc>
        <w:tc>
          <w:tcPr>
            <w:tcW w:w="735" w:type="pct"/>
            <w:hideMark/>
          </w:tcPr>
          <w:p w14:paraId="4F24C522"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Sans TN</w:t>
            </w:r>
          </w:p>
          <w:p w14:paraId="50AB8716"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n=67</w:t>
            </w:r>
          </w:p>
        </w:tc>
        <w:tc>
          <w:tcPr>
            <w:tcW w:w="375" w:type="pct"/>
            <w:vMerge/>
            <w:hideMark/>
          </w:tcPr>
          <w:p w14:paraId="5F6A39BF"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p>
        </w:tc>
        <w:tc>
          <w:tcPr>
            <w:tcW w:w="674" w:type="pct"/>
            <w:vMerge/>
            <w:hideMark/>
          </w:tcPr>
          <w:p w14:paraId="09363DAA"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p>
        </w:tc>
        <w:tc>
          <w:tcPr>
            <w:tcW w:w="448" w:type="pct"/>
            <w:vMerge/>
            <w:hideMark/>
          </w:tcPr>
          <w:p w14:paraId="00E85E1B"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p>
        </w:tc>
      </w:tr>
      <w:tr w:rsidR="00E57AFD" w:rsidRPr="00E57AFD" w14:paraId="53662086" w14:textId="77777777" w:rsidTr="00E57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45" w:type="pct"/>
            <w:gridSpan w:val="4"/>
            <w:hideMark/>
          </w:tcPr>
          <w:p w14:paraId="518FFC81"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Age ≥ 55 ans</w:t>
            </w:r>
          </w:p>
        </w:tc>
        <w:tc>
          <w:tcPr>
            <w:tcW w:w="824" w:type="pct"/>
            <w:hideMark/>
          </w:tcPr>
          <w:p w14:paraId="1BD6BB9B"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32(39%)</w:t>
            </w:r>
          </w:p>
        </w:tc>
        <w:tc>
          <w:tcPr>
            <w:tcW w:w="735" w:type="pct"/>
            <w:hideMark/>
          </w:tcPr>
          <w:p w14:paraId="17E7DB83"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10(15%)</w:t>
            </w:r>
          </w:p>
        </w:tc>
        <w:tc>
          <w:tcPr>
            <w:tcW w:w="375" w:type="pct"/>
            <w:hideMark/>
          </w:tcPr>
          <w:p w14:paraId="34DCFEE4"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3,46</w:t>
            </w:r>
          </w:p>
        </w:tc>
        <w:tc>
          <w:tcPr>
            <w:tcW w:w="674" w:type="pct"/>
            <w:hideMark/>
          </w:tcPr>
          <w:p w14:paraId="1D2B438D"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1,62-6,33</w:t>
            </w:r>
          </w:p>
        </w:tc>
        <w:tc>
          <w:tcPr>
            <w:tcW w:w="448" w:type="pct"/>
            <w:hideMark/>
          </w:tcPr>
          <w:p w14:paraId="1FCB4015"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0,003</w:t>
            </w:r>
          </w:p>
        </w:tc>
      </w:tr>
      <w:tr w:rsidR="00E57AFD" w:rsidRPr="00E57AFD" w14:paraId="772C44F0" w14:textId="77777777" w:rsidTr="00E57AFD">
        <w:tc>
          <w:tcPr>
            <w:cnfStyle w:val="001000000000" w:firstRow="0" w:lastRow="0" w:firstColumn="1" w:lastColumn="0" w:oddVBand="0" w:evenVBand="0" w:oddHBand="0" w:evenHBand="0" w:firstRowFirstColumn="0" w:firstRowLastColumn="0" w:lastRowFirstColumn="0" w:lastRowLastColumn="0"/>
            <w:tcW w:w="1945" w:type="pct"/>
            <w:gridSpan w:val="4"/>
            <w:hideMark/>
          </w:tcPr>
          <w:p w14:paraId="0FFA85AE"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Age &lt; 55ans</w:t>
            </w:r>
          </w:p>
        </w:tc>
        <w:tc>
          <w:tcPr>
            <w:tcW w:w="824" w:type="pct"/>
            <w:hideMark/>
          </w:tcPr>
          <w:p w14:paraId="18E72540"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51(61%)</w:t>
            </w:r>
          </w:p>
        </w:tc>
        <w:tc>
          <w:tcPr>
            <w:tcW w:w="735" w:type="pct"/>
            <w:hideMark/>
          </w:tcPr>
          <w:p w14:paraId="768CD533"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57(85%)</w:t>
            </w:r>
          </w:p>
        </w:tc>
        <w:tc>
          <w:tcPr>
            <w:tcW w:w="375" w:type="pct"/>
            <w:hideMark/>
          </w:tcPr>
          <w:p w14:paraId="13DBF446"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0,27</w:t>
            </w:r>
          </w:p>
        </w:tc>
        <w:tc>
          <w:tcPr>
            <w:tcW w:w="674" w:type="pct"/>
            <w:hideMark/>
          </w:tcPr>
          <w:p w14:paraId="7836E6E3"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0,10-1,77</w:t>
            </w:r>
          </w:p>
        </w:tc>
        <w:tc>
          <w:tcPr>
            <w:tcW w:w="448" w:type="pct"/>
            <w:hideMark/>
          </w:tcPr>
          <w:p w14:paraId="6D447AEA"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0,212</w:t>
            </w:r>
          </w:p>
        </w:tc>
      </w:tr>
      <w:tr w:rsidR="00E57AFD" w:rsidRPr="00E57AFD" w14:paraId="7860C30B" w14:textId="77777777" w:rsidTr="00E57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 w:type="pct"/>
            <w:gridSpan w:val="2"/>
            <w:vMerge w:val="restart"/>
            <w:hideMark/>
          </w:tcPr>
          <w:p w14:paraId="785D949C"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Sexe (H/F)</w:t>
            </w:r>
          </w:p>
        </w:tc>
        <w:tc>
          <w:tcPr>
            <w:tcW w:w="899" w:type="pct"/>
            <w:gridSpan w:val="2"/>
            <w:hideMark/>
          </w:tcPr>
          <w:p w14:paraId="391B1464" w14:textId="77777777" w:rsidR="00E57AFD" w:rsidRPr="00E57AFD" w:rsidRDefault="00E57AFD" w:rsidP="00E57AFD">
            <w:pPr>
              <w:spacing w:after="0" w:line="240" w:lineRule="auto"/>
              <w:ind w:left="0" w:firstLine="0"/>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Homme</w:t>
            </w:r>
          </w:p>
        </w:tc>
        <w:tc>
          <w:tcPr>
            <w:tcW w:w="824" w:type="pct"/>
            <w:hideMark/>
          </w:tcPr>
          <w:p w14:paraId="5EEA1392"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36(43%)</w:t>
            </w:r>
          </w:p>
        </w:tc>
        <w:tc>
          <w:tcPr>
            <w:tcW w:w="735" w:type="pct"/>
            <w:hideMark/>
          </w:tcPr>
          <w:p w14:paraId="54FDC0AC"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31(46%)</w:t>
            </w:r>
          </w:p>
        </w:tc>
        <w:tc>
          <w:tcPr>
            <w:tcW w:w="375" w:type="pct"/>
            <w:vMerge w:val="restart"/>
            <w:hideMark/>
          </w:tcPr>
          <w:p w14:paraId="25D57142"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0,36</w:t>
            </w:r>
          </w:p>
        </w:tc>
        <w:tc>
          <w:tcPr>
            <w:tcW w:w="674" w:type="pct"/>
            <w:vMerge w:val="restart"/>
            <w:hideMark/>
          </w:tcPr>
          <w:p w14:paraId="0866C49A"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0,40-1,98</w:t>
            </w:r>
          </w:p>
        </w:tc>
        <w:tc>
          <w:tcPr>
            <w:tcW w:w="448" w:type="pct"/>
            <w:vMerge w:val="restart"/>
            <w:hideMark/>
          </w:tcPr>
          <w:p w14:paraId="6990F054"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0,691</w:t>
            </w:r>
          </w:p>
        </w:tc>
      </w:tr>
      <w:tr w:rsidR="00E57AFD" w:rsidRPr="00E57AFD" w14:paraId="566495FC" w14:textId="77777777" w:rsidTr="00E57AFD">
        <w:tc>
          <w:tcPr>
            <w:cnfStyle w:val="001000000000" w:firstRow="0" w:lastRow="0" w:firstColumn="1" w:lastColumn="0" w:oddVBand="0" w:evenVBand="0" w:oddHBand="0" w:evenHBand="0" w:firstRowFirstColumn="0" w:firstRowLastColumn="0" w:lastRowFirstColumn="0" w:lastRowLastColumn="0"/>
            <w:tcW w:w="1046" w:type="pct"/>
            <w:gridSpan w:val="2"/>
            <w:vMerge/>
            <w:shd w:val="clear" w:color="auto" w:fill="DEEAF6" w:themeFill="accent1" w:themeFillTint="33"/>
            <w:hideMark/>
          </w:tcPr>
          <w:p w14:paraId="332778DB"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p>
        </w:tc>
        <w:tc>
          <w:tcPr>
            <w:tcW w:w="899" w:type="pct"/>
            <w:gridSpan w:val="2"/>
            <w:shd w:val="clear" w:color="auto" w:fill="DEEAF6" w:themeFill="accent1" w:themeFillTint="33"/>
            <w:hideMark/>
          </w:tcPr>
          <w:p w14:paraId="0C5426C7" w14:textId="77777777" w:rsidR="00E57AFD" w:rsidRPr="00E57AFD" w:rsidRDefault="00E57AFD" w:rsidP="00E57AFD">
            <w:pPr>
              <w:spacing w:after="0" w:line="240" w:lineRule="auto"/>
              <w:ind w:left="0" w:firstLine="0"/>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Femme</w:t>
            </w:r>
          </w:p>
        </w:tc>
        <w:tc>
          <w:tcPr>
            <w:tcW w:w="824" w:type="pct"/>
            <w:shd w:val="clear" w:color="auto" w:fill="DEEAF6" w:themeFill="accent1" w:themeFillTint="33"/>
            <w:hideMark/>
          </w:tcPr>
          <w:p w14:paraId="13606322"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47(57%)</w:t>
            </w:r>
          </w:p>
        </w:tc>
        <w:tc>
          <w:tcPr>
            <w:tcW w:w="735" w:type="pct"/>
            <w:shd w:val="clear" w:color="auto" w:fill="DEEAF6" w:themeFill="accent1" w:themeFillTint="33"/>
            <w:hideMark/>
          </w:tcPr>
          <w:p w14:paraId="73C7C3B9"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36(54%)</w:t>
            </w:r>
          </w:p>
        </w:tc>
        <w:tc>
          <w:tcPr>
            <w:tcW w:w="375" w:type="pct"/>
            <w:vMerge/>
            <w:hideMark/>
          </w:tcPr>
          <w:p w14:paraId="51AC8F23"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p>
        </w:tc>
        <w:tc>
          <w:tcPr>
            <w:tcW w:w="674" w:type="pct"/>
            <w:vMerge/>
            <w:hideMark/>
          </w:tcPr>
          <w:p w14:paraId="63FC002A"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p>
        </w:tc>
        <w:tc>
          <w:tcPr>
            <w:tcW w:w="448" w:type="pct"/>
            <w:vMerge/>
            <w:hideMark/>
          </w:tcPr>
          <w:p w14:paraId="559F2BEA"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p>
        </w:tc>
      </w:tr>
      <w:tr w:rsidR="00E57AFD" w:rsidRPr="00E57AFD" w14:paraId="688F4F8A" w14:textId="77777777" w:rsidTr="00E57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6" w:type="pct"/>
            <w:gridSpan w:val="2"/>
            <w:vMerge w:val="restart"/>
            <w:shd w:val="clear" w:color="auto" w:fill="auto"/>
            <w:hideMark/>
          </w:tcPr>
          <w:p w14:paraId="6BDAC68D"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Niveau d’instruction</w:t>
            </w:r>
          </w:p>
          <w:p w14:paraId="42FFFF8A"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(Bas/élevé)</w:t>
            </w:r>
          </w:p>
        </w:tc>
        <w:tc>
          <w:tcPr>
            <w:tcW w:w="899" w:type="pct"/>
            <w:gridSpan w:val="2"/>
            <w:shd w:val="clear" w:color="auto" w:fill="auto"/>
            <w:hideMark/>
          </w:tcPr>
          <w:p w14:paraId="71FB35C2" w14:textId="77777777" w:rsidR="00E57AFD" w:rsidRPr="00E57AFD" w:rsidRDefault="00E57AFD" w:rsidP="00E57AFD">
            <w:pPr>
              <w:spacing w:after="0" w:line="240" w:lineRule="auto"/>
              <w:ind w:left="0" w:firstLine="0"/>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Bas</w:t>
            </w:r>
          </w:p>
        </w:tc>
        <w:tc>
          <w:tcPr>
            <w:tcW w:w="824" w:type="pct"/>
            <w:shd w:val="clear" w:color="auto" w:fill="auto"/>
            <w:hideMark/>
          </w:tcPr>
          <w:p w14:paraId="4D4A5181"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25(30%)</w:t>
            </w:r>
          </w:p>
        </w:tc>
        <w:tc>
          <w:tcPr>
            <w:tcW w:w="735" w:type="pct"/>
            <w:shd w:val="clear" w:color="auto" w:fill="auto"/>
            <w:hideMark/>
          </w:tcPr>
          <w:p w14:paraId="3725AFC9"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25(37%)</w:t>
            </w:r>
          </w:p>
        </w:tc>
        <w:tc>
          <w:tcPr>
            <w:tcW w:w="375" w:type="pct"/>
            <w:vMerge w:val="restart"/>
            <w:shd w:val="clear" w:color="auto" w:fill="auto"/>
            <w:hideMark/>
          </w:tcPr>
          <w:p w14:paraId="3BD57767"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0,25</w:t>
            </w:r>
          </w:p>
        </w:tc>
        <w:tc>
          <w:tcPr>
            <w:tcW w:w="674" w:type="pct"/>
            <w:vMerge w:val="restart"/>
            <w:shd w:val="clear" w:color="auto" w:fill="auto"/>
            <w:hideMark/>
          </w:tcPr>
          <w:p w14:paraId="07528BE7"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0,11-0,75</w:t>
            </w:r>
          </w:p>
        </w:tc>
        <w:tc>
          <w:tcPr>
            <w:tcW w:w="448" w:type="pct"/>
            <w:vMerge w:val="restart"/>
            <w:shd w:val="clear" w:color="auto" w:fill="auto"/>
            <w:hideMark/>
          </w:tcPr>
          <w:p w14:paraId="04CDDC76" w14:textId="1A201BBA"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0,011</w:t>
            </w:r>
          </w:p>
        </w:tc>
      </w:tr>
      <w:tr w:rsidR="00E57AFD" w:rsidRPr="00E57AFD" w14:paraId="04ABA68A" w14:textId="77777777" w:rsidTr="00E57AFD">
        <w:tc>
          <w:tcPr>
            <w:cnfStyle w:val="001000000000" w:firstRow="0" w:lastRow="0" w:firstColumn="1" w:lastColumn="0" w:oddVBand="0" w:evenVBand="0" w:oddHBand="0" w:evenHBand="0" w:firstRowFirstColumn="0" w:firstRowLastColumn="0" w:lastRowFirstColumn="0" w:lastRowLastColumn="0"/>
            <w:tcW w:w="1046" w:type="pct"/>
            <w:gridSpan w:val="2"/>
            <w:vMerge/>
            <w:hideMark/>
          </w:tcPr>
          <w:p w14:paraId="5CEB5592"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p>
        </w:tc>
        <w:tc>
          <w:tcPr>
            <w:tcW w:w="899" w:type="pct"/>
            <w:gridSpan w:val="2"/>
            <w:hideMark/>
          </w:tcPr>
          <w:p w14:paraId="4B3EA638" w14:textId="77777777" w:rsidR="00E57AFD" w:rsidRPr="00E57AFD" w:rsidRDefault="00E57AFD" w:rsidP="00E57AFD">
            <w:pPr>
              <w:spacing w:after="0" w:line="240" w:lineRule="auto"/>
              <w:ind w:left="0" w:firstLine="0"/>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Elevé</w:t>
            </w:r>
          </w:p>
        </w:tc>
        <w:tc>
          <w:tcPr>
            <w:tcW w:w="824" w:type="pct"/>
            <w:hideMark/>
          </w:tcPr>
          <w:p w14:paraId="3D7B8690"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58(70%)</w:t>
            </w:r>
          </w:p>
        </w:tc>
        <w:tc>
          <w:tcPr>
            <w:tcW w:w="735" w:type="pct"/>
            <w:hideMark/>
          </w:tcPr>
          <w:p w14:paraId="46E62272"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42(63%)</w:t>
            </w:r>
          </w:p>
        </w:tc>
        <w:tc>
          <w:tcPr>
            <w:tcW w:w="375" w:type="pct"/>
            <w:vMerge/>
            <w:hideMark/>
          </w:tcPr>
          <w:p w14:paraId="05C44AFB"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p>
        </w:tc>
        <w:tc>
          <w:tcPr>
            <w:tcW w:w="674" w:type="pct"/>
            <w:vMerge/>
            <w:hideMark/>
          </w:tcPr>
          <w:p w14:paraId="567D314F"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p>
        </w:tc>
        <w:tc>
          <w:tcPr>
            <w:tcW w:w="448" w:type="pct"/>
            <w:vMerge/>
            <w:hideMark/>
          </w:tcPr>
          <w:p w14:paraId="1BD99166"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p>
        </w:tc>
      </w:tr>
      <w:tr w:rsidR="00E57AFD" w:rsidRPr="00E57AFD" w14:paraId="06E308A4" w14:textId="77777777" w:rsidTr="00E57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45" w:type="pct"/>
            <w:gridSpan w:val="4"/>
          </w:tcPr>
          <w:p w14:paraId="48209D40"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Traitement</w:t>
            </w:r>
          </w:p>
        </w:tc>
        <w:tc>
          <w:tcPr>
            <w:tcW w:w="824" w:type="pct"/>
          </w:tcPr>
          <w:p w14:paraId="263D8508"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p>
        </w:tc>
        <w:tc>
          <w:tcPr>
            <w:tcW w:w="735" w:type="pct"/>
          </w:tcPr>
          <w:p w14:paraId="21254326"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p>
        </w:tc>
        <w:tc>
          <w:tcPr>
            <w:tcW w:w="375" w:type="pct"/>
          </w:tcPr>
          <w:p w14:paraId="2D8DC7F8"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p>
        </w:tc>
        <w:tc>
          <w:tcPr>
            <w:tcW w:w="674" w:type="pct"/>
          </w:tcPr>
          <w:p w14:paraId="333D53A8"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p>
        </w:tc>
        <w:tc>
          <w:tcPr>
            <w:tcW w:w="448" w:type="pct"/>
          </w:tcPr>
          <w:p w14:paraId="52BF1059"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p>
        </w:tc>
      </w:tr>
      <w:tr w:rsidR="00E57AFD" w:rsidRPr="00E57AFD" w14:paraId="64FFE628" w14:textId="77777777" w:rsidTr="00E57AFD">
        <w:tc>
          <w:tcPr>
            <w:cnfStyle w:val="001000000000" w:firstRow="0" w:lastRow="0" w:firstColumn="1" w:lastColumn="0" w:oddVBand="0" w:evenVBand="0" w:oddHBand="0" w:evenHBand="0" w:firstRowFirstColumn="0" w:firstRowLastColumn="0" w:lastRowFirstColumn="0" w:lastRowLastColumn="0"/>
            <w:tcW w:w="1121" w:type="pct"/>
            <w:gridSpan w:val="3"/>
            <w:vMerge w:val="restart"/>
            <w:shd w:val="clear" w:color="auto" w:fill="DEEAF6" w:themeFill="accent1" w:themeFillTint="33"/>
          </w:tcPr>
          <w:p w14:paraId="4ECF3B0B"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Type de traitement</w:t>
            </w:r>
          </w:p>
          <w:p w14:paraId="7F18E910"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 xml:space="preserve">(Ass ≥2 AEP/Monothérapie)                             </w:t>
            </w:r>
          </w:p>
        </w:tc>
        <w:tc>
          <w:tcPr>
            <w:tcW w:w="824" w:type="pct"/>
            <w:shd w:val="clear" w:color="auto" w:fill="DEEAF6" w:themeFill="accent1" w:themeFillTint="33"/>
          </w:tcPr>
          <w:p w14:paraId="79B2035E" w14:textId="77777777" w:rsidR="00E57AFD" w:rsidRPr="00E57AFD" w:rsidRDefault="00E57AFD" w:rsidP="00E57AFD">
            <w:pPr>
              <w:spacing w:after="0" w:line="240" w:lineRule="auto"/>
              <w:ind w:left="0" w:firstLine="0"/>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Monothérapie</w:t>
            </w:r>
          </w:p>
        </w:tc>
        <w:tc>
          <w:tcPr>
            <w:tcW w:w="824" w:type="pct"/>
            <w:shd w:val="clear" w:color="auto" w:fill="DEEAF6" w:themeFill="accent1" w:themeFillTint="33"/>
          </w:tcPr>
          <w:p w14:paraId="3D383764"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12 (15%)</w:t>
            </w:r>
          </w:p>
        </w:tc>
        <w:tc>
          <w:tcPr>
            <w:tcW w:w="735" w:type="pct"/>
            <w:shd w:val="clear" w:color="auto" w:fill="DEEAF6" w:themeFill="accent1" w:themeFillTint="33"/>
          </w:tcPr>
          <w:p w14:paraId="30B1D61D"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39 (58%)</w:t>
            </w:r>
          </w:p>
        </w:tc>
        <w:tc>
          <w:tcPr>
            <w:tcW w:w="375" w:type="pct"/>
            <w:vMerge w:val="restart"/>
            <w:shd w:val="clear" w:color="auto" w:fill="DEEAF6" w:themeFill="accent1" w:themeFillTint="33"/>
          </w:tcPr>
          <w:p w14:paraId="316FE7C2"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3,81</w:t>
            </w:r>
          </w:p>
        </w:tc>
        <w:tc>
          <w:tcPr>
            <w:tcW w:w="674" w:type="pct"/>
            <w:vMerge w:val="restart"/>
            <w:shd w:val="clear" w:color="auto" w:fill="DEEAF6" w:themeFill="accent1" w:themeFillTint="33"/>
          </w:tcPr>
          <w:p w14:paraId="2D1AD36C"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1,63-9,43</w:t>
            </w:r>
          </w:p>
        </w:tc>
        <w:tc>
          <w:tcPr>
            <w:tcW w:w="448" w:type="pct"/>
            <w:vMerge w:val="restart"/>
            <w:shd w:val="clear" w:color="auto" w:fill="DEEAF6" w:themeFill="accent1" w:themeFillTint="33"/>
          </w:tcPr>
          <w:p w14:paraId="792D96D2"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0,001</w:t>
            </w:r>
          </w:p>
        </w:tc>
      </w:tr>
      <w:tr w:rsidR="00E57AFD" w:rsidRPr="00E57AFD" w14:paraId="7159B724" w14:textId="77777777" w:rsidTr="00E57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1" w:type="pct"/>
            <w:gridSpan w:val="3"/>
            <w:vMerge/>
            <w:hideMark/>
          </w:tcPr>
          <w:p w14:paraId="482D6DB7"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p>
        </w:tc>
        <w:tc>
          <w:tcPr>
            <w:tcW w:w="824" w:type="pct"/>
          </w:tcPr>
          <w:p w14:paraId="11D6CF83" w14:textId="77777777" w:rsidR="00E57AFD" w:rsidRPr="00E57AFD" w:rsidRDefault="00E57AFD" w:rsidP="00E57AFD">
            <w:pPr>
              <w:spacing w:after="0" w:line="240" w:lineRule="auto"/>
              <w:ind w:left="0" w:firstLine="0"/>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Ass ≥ 2 AEP</w:t>
            </w:r>
          </w:p>
        </w:tc>
        <w:tc>
          <w:tcPr>
            <w:tcW w:w="824" w:type="pct"/>
            <w:hideMark/>
          </w:tcPr>
          <w:p w14:paraId="78E399BF"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64(77%)</w:t>
            </w:r>
          </w:p>
        </w:tc>
        <w:tc>
          <w:tcPr>
            <w:tcW w:w="735" w:type="pct"/>
            <w:hideMark/>
          </w:tcPr>
          <w:p w14:paraId="4E8E2753"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32(48%)</w:t>
            </w:r>
          </w:p>
        </w:tc>
        <w:tc>
          <w:tcPr>
            <w:tcW w:w="375" w:type="pct"/>
            <w:vMerge/>
            <w:hideMark/>
          </w:tcPr>
          <w:p w14:paraId="3E878D91"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p>
        </w:tc>
        <w:tc>
          <w:tcPr>
            <w:tcW w:w="674" w:type="pct"/>
            <w:vMerge/>
            <w:hideMark/>
          </w:tcPr>
          <w:p w14:paraId="714EDB86"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p>
        </w:tc>
        <w:tc>
          <w:tcPr>
            <w:tcW w:w="448" w:type="pct"/>
            <w:vMerge/>
            <w:hideMark/>
          </w:tcPr>
          <w:p w14:paraId="79489A70"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p>
        </w:tc>
      </w:tr>
      <w:tr w:rsidR="00E57AFD" w:rsidRPr="00E57AFD" w14:paraId="273098F5" w14:textId="77777777" w:rsidTr="00E57AFD">
        <w:tc>
          <w:tcPr>
            <w:cnfStyle w:val="001000000000" w:firstRow="0" w:lastRow="0" w:firstColumn="1" w:lastColumn="0" w:oddVBand="0" w:evenVBand="0" w:oddHBand="0" w:evenHBand="0" w:firstRowFirstColumn="0" w:firstRowLastColumn="0" w:lastRowFirstColumn="0" w:lastRowLastColumn="0"/>
            <w:tcW w:w="885" w:type="pct"/>
            <w:vMerge w:val="restart"/>
            <w:hideMark/>
          </w:tcPr>
          <w:p w14:paraId="19D3D50B"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Type d’épilepsie</w:t>
            </w:r>
          </w:p>
          <w:p w14:paraId="6EA0CF4D"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(Ea/Ee)</w:t>
            </w:r>
          </w:p>
        </w:tc>
        <w:tc>
          <w:tcPr>
            <w:tcW w:w="1059" w:type="pct"/>
            <w:gridSpan w:val="3"/>
            <w:hideMark/>
          </w:tcPr>
          <w:p w14:paraId="2A3DA1AE" w14:textId="77777777" w:rsidR="00E57AFD" w:rsidRPr="00E57AFD" w:rsidRDefault="00E57AFD" w:rsidP="00E57AFD">
            <w:pPr>
              <w:spacing w:after="0" w:line="240" w:lineRule="auto"/>
              <w:ind w:left="0" w:firstLine="0"/>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Ee</w:t>
            </w:r>
          </w:p>
        </w:tc>
        <w:tc>
          <w:tcPr>
            <w:tcW w:w="824" w:type="pct"/>
            <w:hideMark/>
          </w:tcPr>
          <w:p w14:paraId="1970487C"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31(37%)</w:t>
            </w:r>
          </w:p>
        </w:tc>
        <w:tc>
          <w:tcPr>
            <w:tcW w:w="735" w:type="pct"/>
            <w:hideMark/>
          </w:tcPr>
          <w:p w14:paraId="03998056"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35(53%)</w:t>
            </w:r>
          </w:p>
        </w:tc>
        <w:tc>
          <w:tcPr>
            <w:tcW w:w="375" w:type="pct"/>
            <w:vMerge w:val="restart"/>
            <w:hideMark/>
          </w:tcPr>
          <w:p w14:paraId="32DD1B11"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1,38</w:t>
            </w:r>
          </w:p>
        </w:tc>
        <w:tc>
          <w:tcPr>
            <w:tcW w:w="674" w:type="pct"/>
            <w:vMerge w:val="restart"/>
            <w:hideMark/>
          </w:tcPr>
          <w:p w14:paraId="67641B03"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0,57-2,87</w:t>
            </w:r>
          </w:p>
        </w:tc>
        <w:tc>
          <w:tcPr>
            <w:tcW w:w="448" w:type="pct"/>
            <w:vMerge w:val="restart"/>
            <w:hideMark/>
          </w:tcPr>
          <w:p w14:paraId="066D3901"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0,982</w:t>
            </w:r>
          </w:p>
        </w:tc>
      </w:tr>
      <w:tr w:rsidR="00E57AFD" w:rsidRPr="00E57AFD" w14:paraId="16D63059" w14:textId="77777777" w:rsidTr="00E57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5" w:type="pct"/>
            <w:vMerge/>
            <w:shd w:val="clear" w:color="auto" w:fill="auto"/>
            <w:hideMark/>
          </w:tcPr>
          <w:p w14:paraId="0E68AE52"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p>
        </w:tc>
        <w:tc>
          <w:tcPr>
            <w:tcW w:w="1059" w:type="pct"/>
            <w:gridSpan w:val="3"/>
            <w:shd w:val="clear" w:color="auto" w:fill="auto"/>
            <w:hideMark/>
          </w:tcPr>
          <w:p w14:paraId="60F445EC" w14:textId="77777777" w:rsidR="00E57AFD" w:rsidRPr="00E57AFD" w:rsidRDefault="00E57AFD" w:rsidP="00E57AFD">
            <w:pPr>
              <w:spacing w:after="0" w:line="240" w:lineRule="auto"/>
              <w:ind w:left="0" w:firstLine="0"/>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sz w:val="18"/>
                <w:szCs w:val="18"/>
                <w:lang w:val="fr-FR"/>
              </w:rPr>
            </w:pPr>
            <w:r w:rsidRPr="00E57AFD">
              <w:rPr>
                <w:rFonts w:ascii="Times New Roman" w:eastAsia="DengXian" w:hAnsi="Times New Roman" w:cs="Times New Roman"/>
                <w:sz w:val="18"/>
                <w:szCs w:val="18"/>
                <w:lang w:val="fr-FR"/>
              </w:rPr>
              <w:t>Ea</w:t>
            </w:r>
          </w:p>
        </w:tc>
        <w:tc>
          <w:tcPr>
            <w:tcW w:w="824" w:type="pct"/>
            <w:shd w:val="clear" w:color="auto" w:fill="auto"/>
            <w:hideMark/>
          </w:tcPr>
          <w:p w14:paraId="162B492D"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52(63%)</w:t>
            </w:r>
          </w:p>
        </w:tc>
        <w:tc>
          <w:tcPr>
            <w:tcW w:w="735" w:type="pct"/>
            <w:shd w:val="clear" w:color="auto" w:fill="auto"/>
            <w:hideMark/>
          </w:tcPr>
          <w:p w14:paraId="15A3000B"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32(48%)</w:t>
            </w:r>
          </w:p>
        </w:tc>
        <w:tc>
          <w:tcPr>
            <w:tcW w:w="375" w:type="pct"/>
            <w:vMerge/>
            <w:hideMark/>
          </w:tcPr>
          <w:p w14:paraId="29455E6B"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p>
        </w:tc>
        <w:tc>
          <w:tcPr>
            <w:tcW w:w="674" w:type="pct"/>
            <w:vMerge/>
            <w:hideMark/>
          </w:tcPr>
          <w:p w14:paraId="65440017"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p>
        </w:tc>
        <w:tc>
          <w:tcPr>
            <w:tcW w:w="448" w:type="pct"/>
            <w:vMerge/>
            <w:hideMark/>
          </w:tcPr>
          <w:p w14:paraId="7CC46EA8"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p>
        </w:tc>
      </w:tr>
      <w:tr w:rsidR="00E57AFD" w:rsidRPr="00E57AFD" w14:paraId="4E414B54" w14:textId="77777777" w:rsidTr="00E57AFD">
        <w:tc>
          <w:tcPr>
            <w:cnfStyle w:val="001000000000" w:firstRow="0" w:lastRow="0" w:firstColumn="1" w:lastColumn="0" w:oddVBand="0" w:evenVBand="0" w:oddHBand="0" w:evenHBand="0" w:firstRowFirstColumn="0" w:firstRowLastColumn="0" w:lastRowFirstColumn="0" w:lastRowLastColumn="0"/>
            <w:tcW w:w="1945" w:type="pct"/>
            <w:gridSpan w:val="4"/>
            <w:shd w:val="clear" w:color="auto" w:fill="DEEAF6" w:themeFill="accent1" w:themeFillTint="33"/>
          </w:tcPr>
          <w:p w14:paraId="32098FFD"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 xml:space="preserve">Lésion intracérébrale </w:t>
            </w:r>
          </w:p>
        </w:tc>
        <w:tc>
          <w:tcPr>
            <w:tcW w:w="824" w:type="pct"/>
            <w:shd w:val="clear" w:color="auto" w:fill="DEEAF6" w:themeFill="accent1" w:themeFillTint="33"/>
          </w:tcPr>
          <w:p w14:paraId="33E5A597"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52(63%)</w:t>
            </w:r>
          </w:p>
        </w:tc>
        <w:tc>
          <w:tcPr>
            <w:tcW w:w="735" w:type="pct"/>
            <w:shd w:val="clear" w:color="auto" w:fill="DEEAF6" w:themeFill="accent1" w:themeFillTint="33"/>
          </w:tcPr>
          <w:p w14:paraId="0C0E730A"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44(66%)</w:t>
            </w:r>
          </w:p>
        </w:tc>
        <w:tc>
          <w:tcPr>
            <w:tcW w:w="375" w:type="pct"/>
            <w:shd w:val="clear" w:color="auto" w:fill="DEEAF6" w:themeFill="accent1" w:themeFillTint="33"/>
          </w:tcPr>
          <w:p w14:paraId="216010AA"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
                <w:bCs/>
                <w:sz w:val="18"/>
                <w:szCs w:val="18"/>
                <w:lang w:val="fr-FR"/>
              </w:rPr>
              <w:t>2,12</w:t>
            </w:r>
          </w:p>
        </w:tc>
        <w:tc>
          <w:tcPr>
            <w:tcW w:w="674" w:type="pct"/>
            <w:shd w:val="clear" w:color="auto" w:fill="DEEAF6" w:themeFill="accent1" w:themeFillTint="33"/>
          </w:tcPr>
          <w:p w14:paraId="7D6C0EEA"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
                <w:bCs/>
                <w:sz w:val="18"/>
                <w:szCs w:val="18"/>
                <w:lang w:val="fr-FR"/>
              </w:rPr>
              <w:t>1,53-4,53</w:t>
            </w:r>
          </w:p>
        </w:tc>
        <w:tc>
          <w:tcPr>
            <w:tcW w:w="448" w:type="pct"/>
            <w:shd w:val="clear" w:color="auto" w:fill="DEEAF6" w:themeFill="accent1" w:themeFillTint="33"/>
          </w:tcPr>
          <w:p w14:paraId="358519F3"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
                <w:bCs/>
                <w:sz w:val="18"/>
                <w:szCs w:val="18"/>
                <w:lang w:val="fr-FR"/>
              </w:rPr>
              <w:t>0,002</w:t>
            </w:r>
          </w:p>
        </w:tc>
      </w:tr>
      <w:tr w:rsidR="00E57AFD" w:rsidRPr="00E57AFD" w14:paraId="59887517" w14:textId="77777777" w:rsidTr="00E57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45" w:type="pct"/>
            <w:gridSpan w:val="4"/>
            <w:shd w:val="clear" w:color="auto" w:fill="auto"/>
            <w:hideMark/>
          </w:tcPr>
          <w:p w14:paraId="39F3BD5E"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Ancienneté de l’épilepsie &gt; 10 ans</w:t>
            </w:r>
          </w:p>
        </w:tc>
        <w:tc>
          <w:tcPr>
            <w:tcW w:w="824" w:type="pct"/>
            <w:shd w:val="clear" w:color="auto" w:fill="auto"/>
            <w:hideMark/>
          </w:tcPr>
          <w:p w14:paraId="56B48F8C"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46(55%)</w:t>
            </w:r>
          </w:p>
        </w:tc>
        <w:tc>
          <w:tcPr>
            <w:tcW w:w="735" w:type="pct"/>
            <w:shd w:val="clear" w:color="auto" w:fill="auto"/>
            <w:hideMark/>
          </w:tcPr>
          <w:p w14:paraId="67F3C3E0"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19(28%)</w:t>
            </w:r>
          </w:p>
        </w:tc>
        <w:tc>
          <w:tcPr>
            <w:tcW w:w="375" w:type="pct"/>
            <w:shd w:val="clear" w:color="auto" w:fill="auto"/>
            <w:hideMark/>
          </w:tcPr>
          <w:p w14:paraId="0DAE564C"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2,36</w:t>
            </w:r>
          </w:p>
        </w:tc>
        <w:tc>
          <w:tcPr>
            <w:tcW w:w="674" w:type="pct"/>
            <w:shd w:val="clear" w:color="auto" w:fill="auto"/>
            <w:hideMark/>
          </w:tcPr>
          <w:p w14:paraId="743166FD"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1,03-5,51</w:t>
            </w:r>
          </w:p>
        </w:tc>
        <w:tc>
          <w:tcPr>
            <w:tcW w:w="448" w:type="pct"/>
            <w:shd w:val="clear" w:color="auto" w:fill="auto"/>
            <w:hideMark/>
          </w:tcPr>
          <w:p w14:paraId="2648FFC2" w14:textId="77777777" w:rsidR="00E57AFD" w:rsidRPr="00E57AFD" w:rsidRDefault="00E57AFD" w:rsidP="00E57AFD">
            <w:pPr>
              <w:spacing w:after="0" w:line="240" w:lineRule="auto"/>
              <w:ind w:left="0" w:firstLine="0"/>
              <w:jc w:val="center"/>
              <w:outlineLvl w:val="0"/>
              <w:cnfStyle w:val="000000100000" w:firstRow="0" w:lastRow="0" w:firstColumn="0" w:lastColumn="0" w:oddVBand="0" w:evenVBand="0" w:oddHBand="1" w:evenHBand="0" w:firstRowFirstColumn="0" w:firstRowLastColumn="0" w:lastRowFirstColumn="0" w:lastRowLastColumn="0"/>
              <w:rPr>
                <w:rFonts w:ascii="Times New Roman" w:eastAsia="DengXian" w:hAnsi="Times New Roman" w:cs="Times New Roman"/>
                <w:b/>
                <w:bCs/>
                <w:sz w:val="18"/>
                <w:szCs w:val="18"/>
                <w:lang w:val="fr-FR"/>
              </w:rPr>
            </w:pPr>
            <w:r w:rsidRPr="00E57AFD">
              <w:rPr>
                <w:rFonts w:ascii="Times New Roman" w:eastAsia="DengXian" w:hAnsi="Times New Roman" w:cs="Times New Roman"/>
                <w:b/>
                <w:bCs/>
                <w:sz w:val="18"/>
                <w:szCs w:val="18"/>
                <w:lang w:val="fr-FR"/>
              </w:rPr>
              <w:t>0,040</w:t>
            </w:r>
          </w:p>
        </w:tc>
      </w:tr>
      <w:tr w:rsidR="00E57AFD" w:rsidRPr="00E57AFD" w14:paraId="586F82F7" w14:textId="77777777" w:rsidTr="00E57AFD">
        <w:tc>
          <w:tcPr>
            <w:cnfStyle w:val="001000000000" w:firstRow="0" w:lastRow="0" w:firstColumn="1" w:lastColumn="0" w:oddVBand="0" w:evenVBand="0" w:oddHBand="0" w:evenHBand="0" w:firstRowFirstColumn="0" w:firstRowLastColumn="0" w:lastRowFirstColumn="0" w:lastRowLastColumn="0"/>
            <w:tcW w:w="1945" w:type="pct"/>
            <w:gridSpan w:val="4"/>
            <w:tcBorders>
              <w:bottom w:val="single" w:sz="4" w:space="0" w:color="auto"/>
            </w:tcBorders>
            <w:shd w:val="clear" w:color="auto" w:fill="DEEAF6" w:themeFill="accent1" w:themeFillTint="33"/>
          </w:tcPr>
          <w:p w14:paraId="6300D55C" w14:textId="77777777" w:rsidR="00E57AFD" w:rsidRPr="00E57AFD" w:rsidRDefault="00E57AFD" w:rsidP="00E57AFD">
            <w:pPr>
              <w:spacing w:after="0" w:line="240" w:lineRule="auto"/>
              <w:ind w:left="0" w:firstLine="0"/>
              <w:outlineLvl w:val="0"/>
              <w:rPr>
                <w:rFonts w:ascii="Times New Roman" w:eastAsia="DengXian" w:hAnsi="Times New Roman" w:cs="Times New Roman"/>
                <w:b w:val="0"/>
                <w:bCs w:val="0"/>
                <w:sz w:val="18"/>
                <w:szCs w:val="18"/>
                <w:lang w:val="fr-FR"/>
              </w:rPr>
            </w:pPr>
            <w:r w:rsidRPr="00E57AFD">
              <w:rPr>
                <w:rFonts w:ascii="Times New Roman" w:eastAsia="DengXian" w:hAnsi="Times New Roman" w:cs="Times New Roman"/>
                <w:b w:val="0"/>
                <w:bCs w:val="0"/>
                <w:sz w:val="18"/>
                <w:szCs w:val="18"/>
                <w:lang w:val="fr-FR"/>
              </w:rPr>
              <w:t xml:space="preserve"> Ionogramme sanguin perturbé</w:t>
            </w:r>
          </w:p>
        </w:tc>
        <w:tc>
          <w:tcPr>
            <w:tcW w:w="824" w:type="pct"/>
            <w:tcBorders>
              <w:bottom w:val="single" w:sz="4" w:space="0" w:color="auto"/>
            </w:tcBorders>
            <w:shd w:val="clear" w:color="auto" w:fill="DEEAF6" w:themeFill="accent1" w:themeFillTint="33"/>
          </w:tcPr>
          <w:p w14:paraId="32061ABE"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26(31%)</w:t>
            </w:r>
          </w:p>
        </w:tc>
        <w:tc>
          <w:tcPr>
            <w:tcW w:w="735" w:type="pct"/>
            <w:tcBorders>
              <w:bottom w:val="single" w:sz="4" w:space="0" w:color="auto"/>
            </w:tcBorders>
            <w:shd w:val="clear" w:color="auto" w:fill="DEEAF6" w:themeFill="accent1" w:themeFillTint="33"/>
          </w:tcPr>
          <w:p w14:paraId="2F3CA937"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20(30%)</w:t>
            </w:r>
          </w:p>
        </w:tc>
        <w:tc>
          <w:tcPr>
            <w:tcW w:w="375" w:type="pct"/>
            <w:tcBorders>
              <w:bottom w:val="single" w:sz="4" w:space="0" w:color="auto"/>
            </w:tcBorders>
            <w:shd w:val="clear" w:color="auto" w:fill="DEEAF6" w:themeFill="accent1" w:themeFillTint="33"/>
          </w:tcPr>
          <w:p w14:paraId="453473AE"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1,27</w:t>
            </w:r>
          </w:p>
        </w:tc>
        <w:tc>
          <w:tcPr>
            <w:tcW w:w="674" w:type="pct"/>
            <w:tcBorders>
              <w:bottom w:val="single" w:sz="4" w:space="0" w:color="auto"/>
            </w:tcBorders>
            <w:shd w:val="clear" w:color="auto" w:fill="DEEAF6" w:themeFill="accent1" w:themeFillTint="33"/>
          </w:tcPr>
          <w:p w14:paraId="0846A5BE"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0,50-2,56</w:t>
            </w:r>
          </w:p>
        </w:tc>
        <w:tc>
          <w:tcPr>
            <w:tcW w:w="448" w:type="pct"/>
            <w:tcBorders>
              <w:bottom w:val="single" w:sz="4" w:space="0" w:color="auto"/>
            </w:tcBorders>
            <w:shd w:val="clear" w:color="auto" w:fill="DEEAF6" w:themeFill="accent1" w:themeFillTint="33"/>
          </w:tcPr>
          <w:p w14:paraId="19512119" w14:textId="77777777" w:rsidR="00E57AFD" w:rsidRPr="00E57AFD" w:rsidRDefault="00E57AFD" w:rsidP="00E57AFD">
            <w:pPr>
              <w:spacing w:after="0" w:line="240" w:lineRule="auto"/>
              <w:ind w:left="0" w:firstLine="0"/>
              <w:jc w:val="center"/>
              <w:outlineLvl w:val="0"/>
              <w:cnfStyle w:val="000000000000" w:firstRow="0" w:lastRow="0" w:firstColumn="0" w:lastColumn="0" w:oddVBand="0" w:evenVBand="0" w:oddHBand="0" w:evenHBand="0" w:firstRowFirstColumn="0" w:firstRowLastColumn="0" w:lastRowFirstColumn="0" w:lastRowLastColumn="0"/>
              <w:rPr>
                <w:rFonts w:ascii="Times New Roman" w:eastAsia="DengXian" w:hAnsi="Times New Roman" w:cs="Times New Roman"/>
                <w:bCs/>
                <w:sz w:val="18"/>
                <w:szCs w:val="18"/>
                <w:lang w:val="fr-FR"/>
              </w:rPr>
            </w:pPr>
            <w:r w:rsidRPr="00E57AFD">
              <w:rPr>
                <w:rFonts w:ascii="Times New Roman" w:eastAsia="DengXian" w:hAnsi="Times New Roman" w:cs="Times New Roman"/>
                <w:bCs/>
                <w:sz w:val="18"/>
                <w:szCs w:val="18"/>
                <w:lang w:val="fr-FR"/>
              </w:rPr>
              <w:t>0,439</w:t>
            </w:r>
          </w:p>
        </w:tc>
      </w:tr>
      <w:tr w:rsidR="00E57AFD" w:rsidRPr="00E57AFD" w14:paraId="1C9445E9" w14:textId="77777777" w:rsidTr="00E57A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9"/>
            <w:tcBorders>
              <w:top w:val="single" w:sz="4" w:space="0" w:color="auto"/>
              <w:bottom w:val="nil"/>
            </w:tcBorders>
            <w:shd w:val="clear" w:color="auto" w:fill="FFFFFF" w:themeFill="background1"/>
          </w:tcPr>
          <w:p w14:paraId="49001120"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b w:val="0"/>
                <w:bCs w:val="0"/>
                <w:sz w:val="16"/>
                <w:szCs w:val="16"/>
                <w:lang w:val="fr-FR"/>
              </w:rPr>
            </w:pPr>
            <w:r w:rsidRPr="00E57AFD">
              <w:rPr>
                <w:rFonts w:ascii="Times New Roman" w:eastAsia="DengXian" w:hAnsi="Times New Roman" w:cs="Times New Roman"/>
                <w:b w:val="0"/>
                <w:bCs w:val="0"/>
                <w:sz w:val="16"/>
                <w:szCs w:val="16"/>
                <w:lang w:val="fr-FR"/>
              </w:rPr>
              <w:t>Ee : Epilepsie de l’enfance (l’âge du patient lors de la crise inaugurale de l’épilepsie ≤ 18 ans)                          Ass ≥ 2 AEP : Association de ≥2 antiépileptiques</w:t>
            </w:r>
          </w:p>
          <w:p w14:paraId="229DD8D6" w14:textId="77777777" w:rsidR="00E57AFD" w:rsidRPr="00E57AFD" w:rsidRDefault="00E57AFD" w:rsidP="00E57AFD">
            <w:pPr>
              <w:spacing w:after="0" w:line="240" w:lineRule="auto"/>
              <w:ind w:left="0" w:firstLine="0"/>
              <w:jc w:val="both"/>
              <w:outlineLvl w:val="0"/>
              <w:rPr>
                <w:rFonts w:ascii="Times New Roman" w:eastAsia="DengXian" w:hAnsi="Times New Roman" w:cs="Times New Roman"/>
                <w:sz w:val="18"/>
                <w:szCs w:val="18"/>
                <w:lang w:val="fr-FR"/>
              </w:rPr>
            </w:pPr>
            <w:r w:rsidRPr="00E57AFD">
              <w:rPr>
                <w:rFonts w:ascii="Times New Roman" w:eastAsia="DengXian" w:hAnsi="Times New Roman" w:cs="Times New Roman"/>
                <w:b w:val="0"/>
                <w:bCs w:val="0"/>
                <w:sz w:val="16"/>
                <w:szCs w:val="16"/>
                <w:lang w:val="fr-FR"/>
              </w:rPr>
              <w:t>Ea : Epilepsie de l’âge adulte (l’âge du patient lors de la crise inaugurale de l’épilepsie &gt; 18 ans).</w:t>
            </w:r>
          </w:p>
        </w:tc>
      </w:tr>
    </w:tbl>
    <w:p w14:paraId="5126D549" w14:textId="77777777" w:rsidR="00E57AFD" w:rsidRDefault="00E57AFD" w:rsidP="00E0076E">
      <w:pPr>
        <w:spacing w:after="0" w:line="240" w:lineRule="auto"/>
        <w:ind w:left="0" w:firstLine="0"/>
        <w:jc w:val="both"/>
        <w:outlineLvl w:val="0"/>
        <w:rPr>
          <w:rFonts w:ascii="Times New Roman" w:eastAsia="DengXian" w:hAnsi="Times New Roman" w:cs="Times New Roman"/>
          <w:bCs/>
          <w:sz w:val="20"/>
          <w:szCs w:val="20"/>
        </w:rPr>
        <w:sectPr w:rsidR="00E57AFD" w:rsidSect="00E57AFD">
          <w:type w:val="continuous"/>
          <w:pgSz w:w="11906" w:h="16838"/>
          <w:pgMar w:top="1134" w:right="851" w:bottom="1418" w:left="1134" w:header="720" w:footer="708" w:gutter="0"/>
          <w:cols w:space="720"/>
          <w:docGrid w:linePitch="326"/>
        </w:sectPr>
      </w:pPr>
    </w:p>
    <w:p w14:paraId="01047CDB" w14:textId="0B36D21A" w:rsidR="00E0076E" w:rsidRPr="00E0076E" w:rsidRDefault="00E0076E" w:rsidP="00E0076E">
      <w:pPr>
        <w:spacing w:after="0" w:line="240" w:lineRule="auto"/>
        <w:ind w:left="0" w:firstLine="0"/>
        <w:jc w:val="both"/>
        <w:outlineLvl w:val="0"/>
        <w:rPr>
          <w:rFonts w:ascii="Times New Roman" w:eastAsia="DengXian" w:hAnsi="Times New Roman" w:cs="Times New Roman"/>
          <w:bCs/>
          <w:sz w:val="20"/>
          <w:szCs w:val="20"/>
        </w:rPr>
      </w:pPr>
      <w:r w:rsidRPr="00E0076E">
        <w:rPr>
          <w:rFonts w:ascii="Times New Roman" w:eastAsia="DengXian" w:hAnsi="Times New Roman" w:cs="Times New Roman"/>
          <w:bCs/>
          <w:sz w:val="20"/>
          <w:szCs w:val="20"/>
        </w:rPr>
        <w:t>Concernant les différents types de TNC, seuls les TNC multi-domaines (amnésiques ou non amnésiques) étaient associées à l’épilepsie, OR : 2,47, IC 95% [1,31-4,76], p = 0,001.</w:t>
      </w:r>
    </w:p>
    <w:p w14:paraId="6C6D68A1" w14:textId="77777777" w:rsidR="00E57AFD" w:rsidRDefault="00E57AFD" w:rsidP="00E0076E">
      <w:pPr>
        <w:spacing w:before="120" w:after="40" w:line="240" w:lineRule="auto"/>
        <w:ind w:left="0" w:firstLine="0"/>
        <w:jc w:val="both"/>
        <w:outlineLvl w:val="0"/>
        <w:rPr>
          <w:rFonts w:ascii="Times New Roman" w:eastAsia="DengXian" w:hAnsi="Times New Roman" w:cs="Times New Roman"/>
          <w:b/>
          <w:sz w:val="20"/>
          <w:szCs w:val="20"/>
        </w:rPr>
        <w:sectPr w:rsidR="00E57AFD" w:rsidSect="00E57AFD">
          <w:type w:val="continuous"/>
          <w:pgSz w:w="11906" w:h="16838"/>
          <w:pgMar w:top="1134" w:right="851" w:bottom="1418" w:left="1134" w:header="720" w:footer="708" w:gutter="0"/>
          <w:cols w:space="720"/>
          <w:docGrid w:linePitch="326"/>
        </w:sectPr>
      </w:pPr>
    </w:p>
    <w:p w14:paraId="24369B74" w14:textId="2855948E" w:rsidR="00E0076E" w:rsidRPr="00E0076E" w:rsidRDefault="00E0076E" w:rsidP="00E0076E">
      <w:pPr>
        <w:spacing w:before="120" w:after="40" w:line="240" w:lineRule="auto"/>
        <w:ind w:left="0" w:firstLine="0"/>
        <w:jc w:val="both"/>
        <w:outlineLvl w:val="0"/>
        <w:rPr>
          <w:rFonts w:ascii="Times New Roman" w:eastAsia="DengXian" w:hAnsi="Times New Roman" w:cs="Times New Roman"/>
          <w:b/>
          <w:sz w:val="20"/>
          <w:szCs w:val="20"/>
        </w:rPr>
      </w:pPr>
      <w:r w:rsidRPr="00E0076E">
        <w:rPr>
          <w:rFonts w:ascii="Times New Roman" w:eastAsia="DengXian" w:hAnsi="Times New Roman" w:cs="Times New Roman"/>
          <w:b/>
          <w:sz w:val="20"/>
          <w:szCs w:val="20"/>
        </w:rPr>
        <w:t>DISCUSSION</w:t>
      </w:r>
    </w:p>
    <w:p w14:paraId="5DF665F7" w14:textId="77777777" w:rsidR="00E0076E" w:rsidRPr="00E0076E" w:rsidRDefault="00E0076E" w:rsidP="00E0076E">
      <w:pPr>
        <w:spacing w:after="0" w:line="240" w:lineRule="auto"/>
        <w:ind w:left="0" w:firstLine="0"/>
        <w:jc w:val="both"/>
        <w:outlineLvl w:val="0"/>
        <w:rPr>
          <w:rFonts w:ascii="Times New Roman" w:eastAsia="DengXian" w:hAnsi="Times New Roman" w:cs="Times New Roman"/>
          <w:bCs/>
          <w:sz w:val="20"/>
          <w:szCs w:val="20"/>
        </w:rPr>
      </w:pPr>
      <w:r w:rsidRPr="00E0076E">
        <w:rPr>
          <w:rFonts w:ascii="Times New Roman" w:eastAsia="DengXian" w:hAnsi="Times New Roman" w:cs="Times New Roman"/>
          <w:bCs/>
          <w:sz w:val="20"/>
          <w:szCs w:val="20"/>
        </w:rPr>
        <w:t xml:space="preserve">Autre fois rare, des recherches évaluant les fonctions neurocognitives deviennent de plus en plus fréquentes en Afrique subsaharienne ces dernières années [7]. Pour y contribuer, cette étude a évalué les fonctions neurocognitives chez les sujets adultes suivis pour épilepsie au Centre Neuro-Psycho-pathologique de l’Université de Kinshasa en RD Congo. Il en est sorti une fréquence des TNC chez les patients épileptiques de 55,3%, avec OR = 1,68 et un intervalle de confiance à 95% [1,49-2,67], p = 0,02, par rapport aux sujets non épileptiques. Cette fréquence est similaire à celles de plusieurs études africaines et d’ailleurs. Phabphal et al. [8], Witt et al. [9] et Agbetou M. et al. [10] ont rapporté, respectivement, une fréquence de TNC de 60 ; 70 et 74,3 % chez les sujets épileptiques. Cependant, nos résultats sont supérieurs à ceux de Huang et al. [11] qui rapportaient une fréquence de 36%. Cette disparité de </w:t>
      </w:r>
      <w:r w:rsidRPr="00E0076E">
        <w:rPr>
          <w:rFonts w:ascii="Times New Roman" w:eastAsia="DengXian" w:hAnsi="Times New Roman" w:cs="Times New Roman"/>
          <w:bCs/>
          <w:sz w:val="20"/>
          <w:szCs w:val="20"/>
        </w:rPr>
        <w:t xml:space="preserve">fréquence est essentiellement liée aux populations étudiées, à la taille des échantillons, aux types et méthodologies d’études et aux différences dans les outils de diagnostic [10]. L’âge moyen de 48,02 ± 5,00 ans chez les épileptiques avec TNC dans notre série est proche de 32,4 ±14,6 ans rapportés par Agbetou M et al. [10]. L’âge supérieur à 55 ans qui a été un facteur de risque indépendant de survenue des TNC chez les patients épileptiques comme la durée moyenne de l’épilepsie de 15,12 ± 6,43 ans, la fréquence de TNC directement proportionnelle à la durée de l’épilepsie et les TNC en proportion élevée chez les patients épileptiques qui avaient une épilepsie évoluant entre 41 et 50 ans peuvent s’expliquer par le vieillissement de l’organisme et ses conséquences. Les altérations du système endocrinien, métabolique et vasculaire liées à l’âge sont à l’origine d’un dysfonctionnement cérébral et nerveux. Dans la présente étude l’ancienneté de l’épilepsie supérieure à 10 </w:t>
      </w:r>
      <w:r w:rsidRPr="00E0076E">
        <w:rPr>
          <w:rFonts w:ascii="Times New Roman" w:eastAsia="DengXian" w:hAnsi="Times New Roman" w:cs="Times New Roman"/>
          <w:bCs/>
          <w:sz w:val="20"/>
          <w:szCs w:val="20"/>
        </w:rPr>
        <w:lastRenderedPageBreak/>
        <w:t xml:space="preserve">ans était un facteur de risque de survenue des TNC [OR : 2,36 (IC 95% : 1,03-5,51) p=0,040].  T.A. Sunmonu et al. [12] ont rapporté une association entre la durée de l’épilepsie et le développement de TNC.                                                                                                                                                                                                                                    Les données de la littérature sur les différents types de déficience neurocognitive associées à l’épilepsie sont assez hétérogènes [13]. Si dans plusieurs cohortes d’enfants épileptiques étudiés [6] la prédominance de troubles attentionnels/exécutifs, de l’apprentissage et du langage expressif a été observée, cette étude a remarqué chez l’adulte la prédominance de troubles mnésiques, et rapporté des troubles mnésiques à type d’amnésie d’évocation en accord avec certains auteurs [13]. La déficience de la mémoire est l’un de dysfonctionnements neurocognitifs fréquents chez les personnes atteintes d’épilepsie, cependant certains auteurs avaient signalé des déficiences significatives dans l’apprentissage verbal et la mémoire, en particulier la mémoire rétrograde, chez les patients atteints d’épilepsie [14]. Concernant les différents types de TNC, seuls les TNC multi-domaines (amnésiques ou non amnésiques) étaient associés à l’épilepsie, OR : 2,47, IC 95% [1,31-4,76], p = 0,001. Ce qui fait souligner aussi la variabilité des atteintes chez nos enquêtés qui serait expliqué par certaines caractéristiques telles que le type de crises, le type étiologique de l’épilepsie, la localisation la lésion causale, le nombre/la fréquence de crises et le type de traitement (moderne ou traditionnel) et d’antiépileptique reçus. Ces TNC influenceraient la capacité et l’aptitude du sujet épileptique à recourir aux services de soins et suggèreraient une évolution possible de ces sujets épileptiques vers une démence précoce.  Certains auteurs affirment un dysfonctionnement en cercle vicieux entre les crises épileptiques et la neurodégénérescence qui sous-tend souvent le TNC. Les crises épileptiques peuvent, d’une part, favoriser une sclérose hippocampique et d’autre part, plusieurs affections neurodégénératives peuvent présenter des crises épileptiques lors du décours, qui souvent sont associées à des tableaux cliniques sévères [15-17]. Les déficits neurocognitifs ont été plus fréquents (66,3%) dans les épilepsies structurelles ou lésionnelles que dans les épilepsies non structurelles (33,7%) comme dans les autres études [14,19]. La prise en association de plus d’un antiépileptique a été, dans notre série comme dans la littérature, l’un des facteurs influençant l’apparition des TNC chez les épileptiques. Tedrus et al. [18] et Miller et al.[19] ont signalé, dans leurs études, que les sujets ayant au moins deux antiépileptiques présentaient des TNC multi-domaines. Un diagnostic et une prise en charge précoce de TNC chez l’épileptique permettrait à celui-ci de mener une vie socio-professionnelle heureuse en dépit de son épilepsie [20]. </w:t>
      </w:r>
    </w:p>
    <w:p w14:paraId="50B29C3E" w14:textId="48F6ADEE" w:rsidR="00E0076E" w:rsidRPr="00E0076E" w:rsidRDefault="00E0076E" w:rsidP="00E0076E">
      <w:pPr>
        <w:spacing w:before="120" w:after="40" w:line="240" w:lineRule="auto"/>
        <w:ind w:left="0" w:firstLine="0"/>
        <w:jc w:val="both"/>
        <w:outlineLvl w:val="0"/>
        <w:rPr>
          <w:rFonts w:ascii="Times New Roman" w:eastAsia="DengXian" w:hAnsi="Times New Roman" w:cs="Times New Roman"/>
          <w:b/>
          <w:sz w:val="20"/>
          <w:szCs w:val="20"/>
        </w:rPr>
      </w:pPr>
      <w:r w:rsidRPr="00E0076E">
        <w:rPr>
          <w:rFonts w:ascii="Times New Roman" w:eastAsia="DengXian" w:hAnsi="Times New Roman" w:cs="Times New Roman"/>
          <w:b/>
          <w:sz w:val="20"/>
          <w:szCs w:val="20"/>
        </w:rPr>
        <w:t xml:space="preserve">CONCLUSION </w:t>
      </w:r>
    </w:p>
    <w:p w14:paraId="6F20E112" w14:textId="77777777" w:rsidR="00E0076E" w:rsidRDefault="00E0076E" w:rsidP="00E0076E">
      <w:pPr>
        <w:spacing w:after="0" w:line="240" w:lineRule="auto"/>
        <w:ind w:left="0" w:firstLine="0"/>
        <w:jc w:val="both"/>
        <w:outlineLvl w:val="0"/>
        <w:rPr>
          <w:rFonts w:ascii="Times New Roman" w:eastAsia="DengXian" w:hAnsi="Times New Roman" w:cs="Times New Roman"/>
          <w:bCs/>
          <w:sz w:val="20"/>
          <w:szCs w:val="20"/>
        </w:rPr>
      </w:pPr>
      <w:r w:rsidRPr="00E0076E">
        <w:rPr>
          <w:rFonts w:ascii="Times New Roman" w:eastAsia="DengXian" w:hAnsi="Times New Roman" w:cs="Times New Roman"/>
          <w:bCs/>
          <w:sz w:val="20"/>
          <w:szCs w:val="20"/>
        </w:rPr>
        <w:t xml:space="preserve">Les résultats de cette étude prouvent que les sujets épileptiques sont plus susceptibles de développer des TNC que les non épileptiques. Des facteurs de risque tels que l’âge supérieure ou égal à 55 ans, la durée de l’épilepsie supérieure à 10 ans, le bas niveau d’instruction, la présence d’une lésion cérébrale et la prise en association de plus d’un antiépileptique peuvent </w:t>
      </w:r>
      <w:r w:rsidRPr="00E0076E">
        <w:rPr>
          <w:rFonts w:ascii="Times New Roman" w:eastAsia="DengXian" w:hAnsi="Times New Roman" w:cs="Times New Roman"/>
          <w:bCs/>
          <w:sz w:val="20"/>
          <w:szCs w:val="20"/>
        </w:rPr>
        <w:t xml:space="preserve">influencer la survenue des TNC chez les sujets épileptiques. La recherche de TNC dans les plaintes d’admission mérite d’être systématique dans le suivi des patients épileptiques. Des études alliant à la fois les outils neuropsychologiques, électroencéphalographiques et d’imagerie cérébrale sont indispensables pour mieux approfondir la relation entre l’épilepsie et les TNC. </w:t>
      </w:r>
    </w:p>
    <w:p w14:paraId="22AAC1D2" w14:textId="77777777" w:rsidR="006D037B" w:rsidRPr="0084122A" w:rsidRDefault="006D037B" w:rsidP="006D037B">
      <w:pPr>
        <w:spacing w:before="120" w:after="40" w:line="240" w:lineRule="auto"/>
        <w:ind w:left="10"/>
        <w:rPr>
          <w:rFonts w:ascii="Times New Roman" w:eastAsia="Calibri" w:hAnsi="Times New Roman" w:cs="Times New Roman"/>
          <w:b/>
          <w:bCs/>
          <w:sz w:val="20"/>
          <w:szCs w:val="20"/>
        </w:rPr>
      </w:pPr>
      <w:bookmarkStart w:id="10" w:name="_Hlk211783714"/>
      <w:bookmarkStart w:id="11" w:name="_Hlk208571520"/>
      <w:r w:rsidRPr="0084122A">
        <w:rPr>
          <w:rFonts w:ascii="Times New Roman" w:eastAsia="Calibri" w:hAnsi="Times New Roman" w:cs="Times New Roman"/>
          <w:b/>
          <w:bCs/>
          <w:sz w:val="20"/>
          <w:szCs w:val="20"/>
        </w:rPr>
        <w:t>DÉCLARATIONS</w:t>
      </w:r>
    </w:p>
    <w:p w14:paraId="0BDA4C5D" w14:textId="77777777" w:rsidR="006D037B" w:rsidRPr="0076491E" w:rsidRDefault="006D037B" w:rsidP="006D037B">
      <w:pPr>
        <w:spacing w:before="80" w:after="20" w:line="240" w:lineRule="auto"/>
        <w:ind w:left="10"/>
        <w:rPr>
          <w:rFonts w:ascii="Times New Roman" w:eastAsia="Calibri" w:hAnsi="Times New Roman" w:cs="Times New Roman"/>
          <w:b/>
          <w:bCs/>
          <w:sz w:val="20"/>
          <w:szCs w:val="20"/>
        </w:rPr>
      </w:pPr>
      <w:bookmarkStart w:id="12" w:name="_Hlk214205624"/>
      <w:r w:rsidRPr="0076491E">
        <w:rPr>
          <w:rFonts w:ascii="Times New Roman" w:eastAsia="Calibri" w:hAnsi="Times New Roman" w:cs="Times New Roman"/>
          <w:b/>
          <w:bCs/>
          <w:sz w:val="20"/>
          <w:szCs w:val="20"/>
        </w:rPr>
        <w:t>Remerciements</w:t>
      </w:r>
    </w:p>
    <w:p w14:paraId="50B052AB" w14:textId="77777777" w:rsidR="006D037B" w:rsidRPr="0076491E" w:rsidRDefault="006D037B" w:rsidP="006D037B">
      <w:pPr>
        <w:spacing w:before="80" w:after="20" w:line="240" w:lineRule="auto"/>
        <w:ind w:left="10"/>
        <w:rPr>
          <w:rFonts w:ascii="Times New Roman" w:eastAsia="Calibri" w:hAnsi="Times New Roman" w:cs="Times New Roman"/>
          <w:sz w:val="20"/>
          <w:szCs w:val="20"/>
        </w:rPr>
      </w:pPr>
      <w:r w:rsidRPr="0076491E">
        <w:rPr>
          <w:rFonts w:ascii="Times New Roman" w:eastAsia="Calibri" w:hAnsi="Times New Roman" w:cs="Times New Roman"/>
          <w:sz w:val="20"/>
          <w:szCs w:val="20"/>
        </w:rPr>
        <w:t xml:space="preserve">Nous remercions sincèrement tous </w:t>
      </w:r>
      <w:r>
        <w:rPr>
          <w:rFonts w:ascii="Times New Roman" w:eastAsia="Calibri" w:hAnsi="Times New Roman" w:cs="Times New Roman"/>
          <w:sz w:val="20"/>
          <w:szCs w:val="20"/>
        </w:rPr>
        <w:t>ceux</w:t>
      </w:r>
      <w:r w:rsidRPr="0076491E">
        <w:rPr>
          <w:rFonts w:ascii="Times New Roman" w:eastAsia="Calibri" w:hAnsi="Times New Roman" w:cs="Times New Roman"/>
          <w:sz w:val="20"/>
          <w:szCs w:val="20"/>
        </w:rPr>
        <w:t xml:space="preserve"> qui ont rendu cette étude possible.</w:t>
      </w:r>
    </w:p>
    <w:p w14:paraId="17603D85" w14:textId="77777777" w:rsidR="006D037B" w:rsidRPr="0084122A" w:rsidRDefault="006D037B" w:rsidP="006D037B">
      <w:pPr>
        <w:spacing w:before="80" w:after="20" w:line="240" w:lineRule="auto"/>
        <w:ind w:left="10"/>
        <w:rPr>
          <w:rFonts w:ascii="Times New Roman" w:eastAsia="Calibri" w:hAnsi="Times New Roman" w:cs="Times New Roman"/>
          <w:b/>
          <w:bCs/>
          <w:sz w:val="20"/>
          <w:szCs w:val="20"/>
        </w:rPr>
      </w:pPr>
      <w:r w:rsidRPr="0084122A">
        <w:rPr>
          <w:rFonts w:ascii="Times New Roman" w:eastAsia="Calibri" w:hAnsi="Times New Roman" w:cs="Times New Roman"/>
          <w:b/>
          <w:bCs/>
          <w:sz w:val="20"/>
          <w:szCs w:val="20"/>
        </w:rPr>
        <w:t>Conflits d’intérêts</w:t>
      </w:r>
    </w:p>
    <w:p w14:paraId="6224D129" w14:textId="77777777" w:rsidR="006D037B" w:rsidRPr="0084122A" w:rsidRDefault="006D037B" w:rsidP="006D037B">
      <w:pPr>
        <w:spacing w:after="0" w:line="240" w:lineRule="auto"/>
        <w:ind w:left="10"/>
        <w:rPr>
          <w:rFonts w:ascii="Times New Roman" w:eastAsia="Calibri" w:hAnsi="Times New Roman" w:cs="Times New Roman"/>
          <w:sz w:val="20"/>
          <w:szCs w:val="20"/>
        </w:rPr>
      </w:pPr>
      <w:r w:rsidRPr="0084122A">
        <w:rPr>
          <w:rFonts w:ascii="Times New Roman" w:eastAsia="Calibri" w:hAnsi="Times New Roman" w:cs="Times New Roman"/>
          <w:sz w:val="20"/>
          <w:szCs w:val="20"/>
        </w:rPr>
        <w:t>Les auteurs ne déclarent aucun conflit d’intérêts</w:t>
      </w:r>
      <w:r>
        <w:rPr>
          <w:rFonts w:ascii="Times New Roman" w:eastAsia="Calibri" w:hAnsi="Times New Roman" w:cs="Times New Roman"/>
          <w:sz w:val="20"/>
          <w:szCs w:val="20"/>
        </w:rPr>
        <w:t>.</w:t>
      </w:r>
    </w:p>
    <w:p w14:paraId="3978F46D" w14:textId="77777777" w:rsidR="006D037B" w:rsidRPr="0084122A" w:rsidRDefault="006D037B" w:rsidP="006D037B">
      <w:pPr>
        <w:spacing w:before="80" w:after="20" w:line="240" w:lineRule="auto"/>
        <w:ind w:left="10"/>
        <w:rPr>
          <w:rFonts w:ascii="Times New Roman" w:eastAsia="Calibri" w:hAnsi="Times New Roman" w:cs="Times New Roman"/>
          <w:b/>
          <w:bCs/>
          <w:sz w:val="20"/>
          <w:szCs w:val="20"/>
        </w:rPr>
      </w:pPr>
      <w:r w:rsidRPr="0084122A">
        <w:rPr>
          <w:rFonts w:ascii="Times New Roman" w:eastAsia="Calibri" w:hAnsi="Times New Roman" w:cs="Times New Roman"/>
          <w:b/>
          <w:bCs/>
          <w:sz w:val="20"/>
          <w:szCs w:val="20"/>
        </w:rPr>
        <w:t>Financement</w:t>
      </w:r>
    </w:p>
    <w:p w14:paraId="7045CDF7" w14:textId="77777777" w:rsidR="006D037B" w:rsidRPr="0084122A" w:rsidRDefault="006D037B" w:rsidP="006D037B">
      <w:pPr>
        <w:spacing w:after="0" w:line="240" w:lineRule="auto"/>
        <w:ind w:left="10"/>
        <w:rPr>
          <w:rFonts w:ascii="Times New Roman" w:eastAsia="Calibri" w:hAnsi="Times New Roman" w:cs="Times New Roman"/>
          <w:sz w:val="20"/>
          <w:szCs w:val="20"/>
        </w:rPr>
      </w:pPr>
      <w:r w:rsidRPr="0084122A">
        <w:rPr>
          <w:rFonts w:ascii="Times New Roman" w:eastAsia="Calibri" w:hAnsi="Times New Roman" w:cs="Times New Roman"/>
          <w:sz w:val="20"/>
          <w:szCs w:val="20"/>
        </w:rPr>
        <w:t>Le travail a été effectué sur fonds propres</w:t>
      </w:r>
      <w:r>
        <w:rPr>
          <w:rFonts w:ascii="Times New Roman" w:eastAsia="Calibri" w:hAnsi="Times New Roman" w:cs="Times New Roman"/>
          <w:sz w:val="20"/>
          <w:szCs w:val="20"/>
        </w:rPr>
        <w:t xml:space="preserve"> </w:t>
      </w:r>
    </w:p>
    <w:p w14:paraId="40FB6ACD" w14:textId="77777777" w:rsidR="006D037B" w:rsidRPr="0084122A" w:rsidRDefault="006D037B" w:rsidP="006D037B">
      <w:pPr>
        <w:spacing w:before="80" w:after="20" w:line="240" w:lineRule="auto"/>
        <w:ind w:left="10"/>
        <w:rPr>
          <w:rFonts w:ascii="Times New Roman" w:eastAsia="Calibri" w:hAnsi="Times New Roman" w:cs="Times New Roman"/>
          <w:b/>
          <w:bCs/>
          <w:sz w:val="20"/>
          <w:szCs w:val="20"/>
        </w:rPr>
      </w:pPr>
      <w:r w:rsidRPr="0084122A">
        <w:rPr>
          <w:rFonts w:ascii="Times New Roman" w:eastAsia="Calibri" w:hAnsi="Times New Roman" w:cs="Times New Roman"/>
          <w:b/>
          <w:bCs/>
          <w:sz w:val="20"/>
          <w:szCs w:val="20"/>
        </w:rPr>
        <w:t>Considérations éthiques</w:t>
      </w:r>
    </w:p>
    <w:p w14:paraId="083D0DDF" w14:textId="77777777" w:rsidR="006D037B" w:rsidRPr="0084122A" w:rsidRDefault="006D037B" w:rsidP="006D037B">
      <w:pPr>
        <w:spacing w:after="0" w:line="240" w:lineRule="auto"/>
        <w:ind w:left="10"/>
        <w:rPr>
          <w:rFonts w:ascii="Times New Roman" w:eastAsia="Calibri" w:hAnsi="Times New Roman" w:cs="Times New Roman"/>
          <w:sz w:val="20"/>
          <w:szCs w:val="20"/>
        </w:rPr>
      </w:pPr>
      <w:r w:rsidRPr="0084122A">
        <w:rPr>
          <w:rFonts w:ascii="Times New Roman" w:eastAsia="Calibri" w:hAnsi="Times New Roman" w:cs="Times New Roman"/>
          <w:sz w:val="20"/>
          <w:szCs w:val="20"/>
        </w:rPr>
        <w:t xml:space="preserve">Toutes les étapes du travail ont été effectuées en conformité avec la </w:t>
      </w:r>
      <w:hyperlink r:id="rId16" w:history="1">
        <w:r w:rsidRPr="0084122A">
          <w:rPr>
            <w:rFonts w:ascii="Times New Roman" w:eastAsia="Calibri" w:hAnsi="Times New Roman" w:cs="Times New Roman"/>
            <w:color w:val="0563C1"/>
            <w:sz w:val="20"/>
            <w:szCs w:val="20"/>
            <w:u w:val="single"/>
          </w:rPr>
          <w:t>déclaration d’Helsinki</w:t>
        </w:r>
      </w:hyperlink>
      <w:r w:rsidRPr="0084122A">
        <w:rPr>
          <w:rFonts w:ascii="Times New Roman" w:eastAsia="Calibri" w:hAnsi="Times New Roman" w:cs="Times New Roman"/>
          <w:sz w:val="20"/>
          <w:szCs w:val="20"/>
        </w:rPr>
        <w:t>. L</w:t>
      </w:r>
      <w:r w:rsidRPr="0084122A">
        <w:rPr>
          <w:rFonts w:ascii="Times New Roman" w:eastAsia="Times New Roman" w:hAnsi="Times New Roman" w:cs="Times New Roman"/>
          <w:sz w:val="20"/>
          <w:szCs w:val="20"/>
          <w:lang w:eastAsia="fr-CI"/>
        </w:rPr>
        <w:t>’approbation du comité d’éthique institutionnel a été obtenue avant le début de l’étude</w:t>
      </w:r>
      <w:r>
        <w:rPr>
          <w:rFonts w:ascii="Times New Roman" w:eastAsia="Times New Roman" w:hAnsi="Times New Roman" w:cs="Times New Roman"/>
          <w:sz w:val="20"/>
          <w:szCs w:val="20"/>
          <w:lang w:eastAsia="fr-CI"/>
        </w:rPr>
        <w:t>. En outre, c</w:t>
      </w:r>
      <w:r w:rsidRPr="005E46AD">
        <w:rPr>
          <w:rFonts w:ascii="Times New Roman" w:eastAsia="Times New Roman" w:hAnsi="Times New Roman" w:cs="Times New Roman"/>
          <w:sz w:val="20"/>
          <w:szCs w:val="20"/>
          <w:lang w:eastAsia="fr-CI"/>
        </w:rPr>
        <w:t>e travail n'a impliqué aucune expérimentation sur des êtres humains ou des animaux et ne contient aucune information personnelle permettant d'identifier les patients.</w:t>
      </w:r>
    </w:p>
    <w:bookmarkEnd w:id="10"/>
    <w:p w14:paraId="2949DDDC" w14:textId="77777777" w:rsidR="006D037B" w:rsidRPr="00E9256A" w:rsidRDefault="006D037B" w:rsidP="006D037B">
      <w:pPr>
        <w:spacing w:before="80" w:after="20" w:line="240" w:lineRule="auto"/>
        <w:ind w:left="10"/>
        <w:rPr>
          <w:rFonts w:ascii="Times New Roman" w:eastAsia="Calibri" w:hAnsi="Times New Roman" w:cs="Times New Roman"/>
          <w:b/>
          <w:bCs/>
          <w:sz w:val="20"/>
          <w:szCs w:val="20"/>
        </w:rPr>
      </w:pPr>
      <w:r w:rsidRPr="00E9256A">
        <w:rPr>
          <w:rFonts w:ascii="Times New Roman" w:eastAsia="Calibri" w:hAnsi="Times New Roman" w:cs="Times New Roman"/>
          <w:b/>
          <w:bCs/>
          <w:sz w:val="20"/>
          <w:szCs w:val="20"/>
        </w:rPr>
        <w:t>Disponibilité des données</w:t>
      </w:r>
    </w:p>
    <w:p w14:paraId="11D0FD18" w14:textId="77777777" w:rsidR="006D037B" w:rsidRDefault="006D037B" w:rsidP="006D037B">
      <w:pPr>
        <w:spacing w:line="240" w:lineRule="auto"/>
        <w:ind w:left="10"/>
        <w:rPr>
          <w:rFonts w:ascii="Times New Roman" w:eastAsia="Times New Roman" w:hAnsi="Times New Roman" w:cs="Times New Roman"/>
          <w:sz w:val="20"/>
          <w:szCs w:val="20"/>
          <w:lang w:eastAsia="fr-CI"/>
        </w:rPr>
      </w:pPr>
      <w:r w:rsidRPr="00E9256A">
        <w:rPr>
          <w:rFonts w:ascii="Times New Roman" w:eastAsia="Times New Roman" w:hAnsi="Times New Roman" w:cs="Times New Roman"/>
          <w:sz w:val="20"/>
          <w:szCs w:val="20"/>
          <w:lang w:eastAsia="fr-CI"/>
        </w:rPr>
        <w:t>Les données sont disponibles sur demande raisonnable à l’auteur principal.</w:t>
      </w:r>
      <w:r>
        <w:rPr>
          <w:rFonts w:ascii="Times New Roman" w:eastAsia="Times New Roman" w:hAnsi="Times New Roman" w:cs="Times New Roman"/>
          <w:sz w:val="20"/>
          <w:szCs w:val="20"/>
          <w:lang w:eastAsia="fr-CI"/>
        </w:rPr>
        <w:t xml:space="preserve"> </w:t>
      </w:r>
    </w:p>
    <w:bookmarkEnd w:id="11"/>
    <w:bookmarkEnd w:id="12"/>
    <w:p w14:paraId="1CD496D2" w14:textId="77777777" w:rsidR="006D037B" w:rsidRPr="00E0076E" w:rsidRDefault="006D037B" w:rsidP="00E0076E">
      <w:pPr>
        <w:spacing w:after="0" w:line="240" w:lineRule="auto"/>
        <w:ind w:left="0" w:firstLine="0"/>
        <w:jc w:val="both"/>
        <w:outlineLvl w:val="0"/>
        <w:rPr>
          <w:rFonts w:ascii="Times New Roman" w:eastAsia="DengXian" w:hAnsi="Times New Roman" w:cs="Times New Roman"/>
          <w:bCs/>
          <w:sz w:val="20"/>
          <w:szCs w:val="20"/>
        </w:rPr>
      </w:pPr>
    </w:p>
    <w:p w14:paraId="5B67549E" w14:textId="74D18E31" w:rsidR="00E0076E" w:rsidRPr="00E0076E" w:rsidRDefault="00E0076E" w:rsidP="00E0076E">
      <w:pPr>
        <w:spacing w:before="120" w:after="40" w:line="240" w:lineRule="auto"/>
        <w:ind w:left="0" w:firstLine="0"/>
        <w:jc w:val="both"/>
        <w:outlineLvl w:val="0"/>
        <w:rPr>
          <w:rFonts w:ascii="Times New Roman" w:eastAsia="DengXian" w:hAnsi="Times New Roman" w:cs="Times New Roman"/>
          <w:b/>
          <w:sz w:val="20"/>
          <w:szCs w:val="20"/>
        </w:rPr>
      </w:pPr>
      <w:r w:rsidRPr="00E0076E">
        <w:rPr>
          <w:rFonts w:ascii="Times New Roman" w:eastAsia="DengXian" w:hAnsi="Times New Roman" w:cs="Times New Roman"/>
          <w:b/>
          <w:sz w:val="20"/>
          <w:szCs w:val="20"/>
        </w:rPr>
        <w:t>REFERENCE</w:t>
      </w:r>
      <w:r>
        <w:rPr>
          <w:rFonts w:ascii="Times New Roman" w:eastAsia="DengXian" w:hAnsi="Times New Roman" w:cs="Times New Roman"/>
          <w:b/>
          <w:sz w:val="20"/>
          <w:szCs w:val="20"/>
        </w:rPr>
        <w:t>S</w:t>
      </w:r>
    </w:p>
    <w:p w14:paraId="26260C97" w14:textId="0EA6E63B"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lang w:val="en-US"/>
        </w:rPr>
      </w:pPr>
      <w:r w:rsidRPr="00E57AFD">
        <w:rPr>
          <w:rFonts w:ascii="Times New Roman" w:eastAsia="DengXian" w:hAnsi="Times New Roman"/>
          <w:bCs/>
          <w:sz w:val="18"/>
          <w:szCs w:val="18"/>
        </w:rPr>
        <w:t xml:space="preserve">Gil R. Abrégé de Neuropsychologie clinique, 6ème édition, Edition Elsevier Masson, Paris. </w:t>
      </w:r>
      <w:r w:rsidRPr="00E57AFD">
        <w:rPr>
          <w:rFonts w:ascii="Times New Roman" w:eastAsia="DengXian" w:hAnsi="Times New Roman"/>
          <w:bCs/>
          <w:sz w:val="18"/>
          <w:szCs w:val="18"/>
          <w:lang w:val="en-US"/>
        </w:rPr>
        <w:t>2014 :547p</w:t>
      </w:r>
    </w:p>
    <w:p w14:paraId="1CBDB282" w14:textId="6DB12EFC"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lang w:val="en-US"/>
        </w:rPr>
      </w:pPr>
      <w:r w:rsidRPr="00E57AFD">
        <w:rPr>
          <w:rFonts w:ascii="Times New Roman" w:eastAsia="DengXian" w:hAnsi="Times New Roman"/>
          <w:bCs/>
          <w:sz w:val="18"/>
          <w:szCs w:val="18"/>
          <w:lang w:val="en-US"/>
        </w:rPr>
        <w:t xml:space="preserve">Prince, M., Bryce, R., Albanese, E., Wimo, A., Ribeiro, W., &amp; Ferri, C. P. (2013). The global prevalence of dementia: a systematic review and metaanalysis. Alzheimer's &amp; dementia : the journal of the Alzheimer's Association, 9(1), 63–75. e2. </w:t>
      </w:r>
    </w:p>
    <w:p w14:paraId="3475DACD" w14:textId="799434C7"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lang w:val="en-US"/>
        </w:rPr>
      </w:pPr>
      <w:r w:rsidRPr="00C732BA">
        <w:rPr>
          <w:rFonts w:ascii="Times New Roman" w:eastAsia="DengXian" w:hAnsi="Times New Roman"/>
          <w:bCs/>
          <w:sz w:val="18"/>
          <w:szCs w:val="18"/>
          <w:lang w:val="fr-FR"/>
        </w:rPr>
        <w:t xml:space="preserve">Brissart, H., Volfart, A. &amp; Forthoffer, N. (2017). </w:t>
      </w:r>
      <w:r w:rsidRPr="00E57AFD">
        <w:rPr>
          <w:rFonts w:ascii="Times New Roman" w:eastAsia="DengXian" w:hAnsi="Times New Roman"/>
          <w:bCs/>
          <w:sz w:val="18"/>
          <w:szCs w:val="18"/>
        </w:rPr>
        <w:t xml:space="preserve">Chapitre 2. Les troubles cognitifs des patients épileptiques. Dans : Hélène Brissart éd., Neuropsychologie des épilepsies de l’adulte : Approche clinique et pratique (pp. 32-59). </w:t>
      </w:r>
      <w:r w:rsidRPr="00E57AFD">
        <w:rPr>
          <w:rFonts w:ascii="Times New Roman" w:eastAsia="DengXian" w:hAnsi="Times New Roman"/>
          <w:bCs/>
          <w:sz w:val="18"/>
          <w:szCs w:val="18"/>
          <w:lang w:val="en-US"/>
        </w:rPr>
        <w:t xml:space="preserve">Louvain-la-Neuve : De Boeck Supérieur.  </w:t>
      </w:r>
    </w:p>
    <w:p w14:paraId="2857BF71" w14:textId="46C790AF"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lang w:val="en-US"/>
        </w:rPr>
      </w:pPr>
      <w:r w:rsidRPr="00E57AFD">
        <w:rPr>
          <w:rFonts w:ascii="Times New Roman" w:eastAsia="DengXian" w:hAnsi="Times New Roman"/>
          <w:bCs/>
          <w:sz w:val="18"/>
          <w:szCs w:val="18"/>
          <w:lang w:val="en-US"/>
        </w:rPr>
        <w:t xml:space="preserve">World Health Organization. The world health report, 2001 : mental health-new understanding, new hope. </w:t>
      </w:r>
      <w:r w:rsidR="00E57AFD" w:rsidRPr="00E57AFD">
        <w:rPr>
          <w:rFonts w:ascii="Times New Roman" w:eastAsia="DengXian" w:hAnsi="Times New Roman"/>
          <w:bCs/>
          <w:sz w:val="18"/>
          <w:szCs w:val="18"/>
          <w:lang w:val="en-US"/>
        </w:rPr>
        <w:t>Geneva:</w:t>
      </w:r>
      <w:r w:rsidRPr="00E57AFD">
        <w:rPr>
          <w:rFonts w:ascii="Times New Roman" w:eastAsia="DengXian" w:hAnsi="Times New Roman"/>
          <w:bCs/>
          <w:sz w:val="18"/>
          <w:szCs w:val="18"/>
          <w:lang w:val="en-US"/>
        </w:rPr>
        <w:t xml:space="preserve"> World Health Organization, 2001 http://www.who.int/whr/2001/en/whr01_en.pdf. Accessed 29 August 2023</w:t>
      </w:r>
    </w:p>
    <w:p w14:paraId="49582B24" w14:textId="5ABBC592"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rPr>
      </w:pPr>
      <w:r w:rsidRPr="00E57AFD">
        <w:rPr>
          <w:rFonts w:ascii="Times New Roman" w:eastAsia="DengXian" w:hAnsi="Times New Roman"/>
          <w:bCs/>
          <w:sz w:val="18"/>
          <w:szCs w:val="18"/>
          <w:lang w:val="en-US"/>
        </w:rPr>
        <w:t xml:space="preserve">Ngugi A, Bottomley C, Kleinschmidt I, Wagner R, Kakooza Mwesige A, Ae-Ngibise K et al. Prevalence of active convulsive epilepsy in subsaharan Africa and associated risk factors: cross-sectional and case control studies. </w:t>
      </w:r>
      <w:r w:rsidRPr="00C732BA">
        <w:rPr>
          <w:rFonts w:ascii="Times New Roman" w:eastAsia="DengXian" w:hAnsi="Times New Roman"/>
          <w:bCs/>
          <w:sz w:val="18"/>
          <w:szCs w:val="18"/>
          <w:lang w:val="en-US"/>
        </w:rPr>
        <w:t xml:space="preserve">Lancet Neurol. </w:t>
      </w:r>
      <w:r w:rsidRPr="00E57AFD">
        <w:rPr>
          <w:rFonts w:ascii="Times New Roman" w:eastAsia="DengXian" w:hAnsi="Times New Roman"/>
          <w:bCs/>
          <w:sz w:val="18"/>
          <w:szCs w:val="18"/>
        </w:rPr>
        <w:t>2013 ; 12(3): 253-263</w:t>
      </w:r>
    </w:p>
    <w:p w14:paraId="567BDCCB" w14:textId="4CAE8485"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rPr>
      </w:pPr>
      <w:r w:rsidRPr="00E57AFD">
        <w:rPr>
          <w:rFonts w:ascii="Times New Roman" w:eastAsia="DengXian" w:hAnsi="Times New Roman"/>
          <w:bCs/>
          <w:sz w:val="18"/>
          <w:szCs w:val="18"/>
        </w:rPr>
        <w:t>Malfait D ; Lippé S. Troubles cognitifs et comportementaux chez l’enfant ayant une épilepsie bénigne à pointes centro-temporales Revista Neuropsicologia Latinoamericana, vol. 3, núm. 1, 2011, pp. 47-57</w:t>
      </w:r>
    </w:p>
    <w:p w14:paraId="68D233FB" w14:textId="61CC027C"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rPr>
      </w:pPr>
      <w:r w:rsidRPr="00E57AFD">
        <w:rPr>
          <w:rFonts w:ascii="Times New Roman" w:eastAsia="DengXian" w:hAnsi="Times New Roman"/>
          <w:bCs/>
          <w:sz w:val="18"/>
          <w:szCs w:val="18"/>
        </w:rPr>
        <w:t>Hutu Kabamba V. et al. Prévalence et facteurs associes des déficits neurocognitifs chez les patients diabétiques admis au centre neuro-psychopathologique de Kinshasa. Revue de Médecine et de Santé Publique. 2024 ; 7(1) : 260 - 271</w:t>
      </w:r>
    </w:p>
    <w:p w14:paraId="63211506" w14:textId="0FB0EA04"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lang w:val="en-US"/>
        </w:rPr>
      </w:pPr>
      <w:r w:rsidRPr="00E57AFD">
        <w:rPr>
          <w:rFonts w:ascii="Times New Roman" w:eastAsia="DengXian" w:hAnsi="Times New Roman"/>
          <w:bCs/>
          <w:sz w:val="18"/>
          <w:szCs w:val="18"/>
          <w:lang w:val="en-US"/>
        </w:rPr>
        <w:lastRenderedPageBreak/>
        <w:t>Phabphal K, Kanjanasatien J. Montreal Cognitive Assessment in cryptogenic epilepsy patients with normal Mini-Mental State Examination scores. Epileptic Disord Int Epilepsy J Videotape 2011 ;13(4) :375-81</w:t>
      </w:r>
    </w:p>
    <w:p w14:paraId="07307627" w14:textId="5201EFA8"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lang w:val="en-US"/>
        </w:rPr>
      </w:pPr>
      <w:r w:rsidRPr="00E57AFD">
        <w:rPr>
          <w:rFonts w:ascii="Times New Roman" w:eastAsia="DengXian" w:hAnsi="Times New Roman"/>
          <w:bCs/>
          <w:sz w:val="18"/>
          <w:szCs w:val="18"/>
          <w:lang w:val="en-US"/>
        </w:rPr>
        <w:t>Witt J, Helmstaedter C. Should cognition be screened in new-onset épilepsies? A study in 247 untreated patients J Neurol 2012 ;259(8):1727-31</w:t>
      </w:r>
    </w:p>
    <w:p w14:paraId="69316A04" w14:textId="5567E96A"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lang w:val="en-US"/>
        </w:rPr>
      </w:pPr>
      <w:r w:rsidRPr="00E57AFD">
        <w:rPr>
          <w:rFonts w:ascii="Times New Roman" w:eastAsia="DengXian" w:hAnsi="Times New Roman"/>
          <w:bCs/>
          <w:sz w:val="18"/>
          <w:szCs w:val="18"/>
          <w:lang w:val="fr-FR"/>
        </w:rPr>
        <w:t xml:space="preserve">Agbetou M, Ablet E, et al. </w:t>
      </w:r>
      <w:r w:rsidRPr="00E57AFD">
        <w:rPr>
          <w:rFonts w:ascii="Times New Roman" w:eastAsia="DengXian" w:hAnsi="Times New Roman"/>
          <w:bCs/>
          <w:sz w:val="18"/>
          <w:szCs w:val="18"/>
        </w:rPr>
        <w:t xml:space="preserve">Les troubles cognitifs chez les personnes épileptiques au Benin en 2021. </w:t>
      </w:r>
      <w:r w:rsidRPr="00E57AFD">
        <w:rPr>
          <w:rFonts w:ascii="Times New Roman" w:eastAsia="DengXian" w:hAnsi="Times New Roman"/>
          <w:bCs/>
          <w:sz w:val="18"/>
          <w:szCs w:val="18"/>
          <w:lang w:val="en-US"/>
        </w:rPr>
        <w:t>Africain and Middle East Epilepsy Journal. Vol. 10 No. 5 (2021)</w:t>
      </w:r>
    </w:p>
    <w:p w14:paraId="27BD0FF8" w14:textId="5A8D3955"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lang w:val="en-US"/>
        </w:rPr>
      </w:pPr>
      <w:r w:rsidRPr="00E57AFD">
        <w:rPr>
          <w:rFonts w:ascii="Times New Roman" w:eastAsia="DengXian" w:hAnsi="Times New Roman"/>
          <w:bCs/>
          <w:sz w:val="18"/>
          <w:szCs w:val="18"/>
          <w:lang w:val="en-US"/>
        </w:rPr>
        <w:t xml:space="preserve">Huang C, Hsieh Y, Tsai J, Pai M. Cognitive performance in cryptogenic epilepsy. Acta Neurol Scand 2005 ;112(4) :228-33 </w:t>
      </w:r>
    </w:p>
    <w:p w14:paraId="1B1A61E1" w14:textId="3671C7A1"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lang w:val="en-US"/>
        </w:rPr>
      </w:pPr>
      <w:r w:rsidRPr="00E57AFD">
        <w:rPr>
          <w:rFonts w:ascii="Times New Roman" w:eastAsia="DengXian" w:hAnsi="Times New Roman"/>
          <w:bCs/>
          <w:sz w:val="18"/>
          <w:szCs w:val="18"/>
          <w:lang w:val="en-US"/>
        </w:rPr>
        <w:t>Sunmonu T, Komolafe M, Ogunrin A, Ogunniyi A. Cognitive assessment in patients with epilepsy using the Community Screening Interview for Dementia. Epilepsy &amp; Behavior 14 (2009) 535–539</w:t>
      </w:r>
    </w:p>
    <w:p w14:paraId="5E29C4D6" w14:textId="1E6F9086"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lang w:val="en-US"/>
        </w:rPr>
      </w:pPr>
      <w:r w:rsidRPr="00E57AFD">
        <w:rPr>
          <w:rFonts w:ascii="Times New Roman" w:eastAsia="DengXian" w:hAnsi="Times New Roman"/>
          <w:bCs/>
          <w:sz w:val="18"/>
          <w:szCs w:val="18"/>
          <w:lang w:val="en-US"/>
        </w:rPr>
        <w:t>Ogunrin O, Adamolekun B, Ogunniyi A, Aldenkamp AP. Cognitive function in newly diagnosed Nigerians with epilepsy. Can J Neurol Sci 2000 ;27 :148–51</w:t>
      </w:r>
    </w:p>
    <w:p w14:paraId="03712641" w14:textId="75D5F203"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rPr>
      </w:pPr>
      <w:r w:rsidRPr="00E57AFD">
        <w:rPr>
          <w:rFonts w:ascii="Times New Roman" w:eastAsia="DengXian" w:hAnsi="Times New Roman"/>
          <w:bCs/>
          <w:sz w:val="18"/>
          <w:szCs w:val="18"/>
          <w:lang w:val="en-US"/>
        </w:rPr>
        <w:t xml:space="preserve">Lah S, Lee T, Grayson S, et al. Effects of temporal lobe epilepsy on retrograde memory. </w:t>
      </w:r>
      <w:r w:rsidRPr="00E57AFD">
        <w:rPr>
          <w:rFonts w:ascii="Times New Roman" w:eastAsia="DengXian" w:hAnsi="Times New Roman"/>
          <w:bCs/>
          <w:sz w:val="18"/>
          <w:szCs w:val="18"/>
        </w:rPr>
        <w:t>Epilepsia 2006 ;47 :615–25</w:t>
      </w:r>
    </w:p>
    <w:p w14:paraId="26D53D4B" w14:textId="0D41DD8A"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rPr>
      </w:pPr>
      <w:r w:rsidRPr="00E57AFD">
        <w:rPr>
          <w:rFonts w:ascii="Times New Roman" w:eastAsia="DengXian" w:hAnsi="Times New Roman"/>
          <w:bCs/>
          <w:sz w:val="18"/>
          <w:szCs w:val="18"/>
        </w:rPr>
        <w:t xml:space="preserve">De Toffol B, Épilepsie chez le sujet âgé - épilepsie et démences, Volume, Issue, /2020, Pages, ISSN 0246-0378. </w:t>
      </w:r>
    </w:p>
    <w:p w14:paraId="5D9D2A21" w14:textId="5B3B8AA6"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rPr>
      </w:pPr>
      <w:r w:rsidRPr="00E57AFD">
        <w:rPr>
          <w:rFonts w:ascii="Times New Roman" w:eastAsia="DengXian" w:hAnsi="Times New Roman"/>
          <w:bCs/>
          <w:sz w:val="18"/>
          <w:szCs w:val="18"/>
        </w:rPr>
        <w:t xml:space="preserve">Et A., Despland P., Perrig S., Et T., Seeck, M. (2005), Etat de mal épileptique et neurodégénérescence : entre circuits et cercles vicieux, Rev Med Suisse, -9, no. 064, 1185–1191. </w:t>
      </w:r>
    </w:p>
    <w:p w14:paraId="7166238E" w14:textId="14525937"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rPr>
      </w:pPr>
      <w:r w:rsidRPr="00E57AFD">
        <w:rPr>
          <w:rFonts w:ascii="Times New Roman" w:eastAsia="DengXian" w:hAnsi="Times New Roman"/>
          <w:bCs/>
          <w:sz w:val="18"/>
          <w:szCs w:val="18"/>
        </w:rPr>
        <w:t>Lisette V. Troubles cognitifs, démence et épilepsie. Psychologie &amp; NeuroPsychiatrie du vieillissement. 2007 ;5(1):31-40. doi :10.1684/pnv. 2007.009</w:t>
      </w:r>
    </w:p>
    <w:p w14:paraId="766EEA2E" w14:textId="0A70E6A5"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rPr>
      </w:pPr>
      <w:r w:rsidRPr="00E57AFD">
        <w:rPr>
          <w:rFonts w:ascii="Times New Roman" w:eastAsia="DengXian" w:hAnsi="Times New Roman"/>
          <w:bCs/>
          <w:sz w:val="18"/>
          <w:szCs w:val="18"/>
          <w:lang w:val="en-US"/>
        </w:rPr>
        <w:t xml:space="preserve">Tedrus G, Passos M, Vargas L, Menezes L. Cognition and epilepsy: Cognitive screening test. </w:t>
      </w:r>
      <w:r w:rsidRPr="00E57AFD">
        <w:rPr>
          <w:rFonts w:ascii="Times New Roman" w:eastAsia="DengXian" w:hAnsi="Times New Roman"/>
          <w:bCs/>
          <w:sz w:val="18"/>
          <w:szCs w:val="18"/>
        </w:rPr>
        <w:t>Dement Neuropsychol 2020 ;14(2):186-93</w:t>
      </w:r>
    </w:p>
    <w:p w14:paraId="181AE09F" w14:textId="1DA219A1" w:rsidR="00E0076E" w:rsidRP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rPr>
      </w:pPr>
      <w:r w:rsidRPr="00C732BA">
        <w:rPr>
          <w:rFonts w:ascii="Times New Roman" w:eastAsia="DengXian" w:hAnsi="Times New Roman"/>
          <w:bCs/>
          <w:sz w:val="18"/>
          <w:szCs w:val="18"/>
          <w:lang w:val="en-US"/>
        </w:rPr>
        <w:t xml:space="preserve">Miller L, Galioto R, Tremont G, Davis J, Bryant K, Roth J, et al. </w:t>
      </w:r>
      <w:r w:rsidRPr="00E57AFD">
        <w:rPr>
          <w:rFonts w:ascii="Times New Roman" w:eastAsia="DengXian" w:hAnsi="Times New Roman"/>
          <w:bCs/>
          <w:sz w:val="18"/>
          <w:szCs w:val="18"/>
          <w:lang w:val="en-US"/>
        </w:rPr>
        <w:t xml:space="preserve">Cognitive impairment in older adults with epilepsy: Characterization and risk factor analysis. </w:t>
      </w:r>
      <w:r w:rsidRPr="00E57AFD">
        <w:rPr>
          <w:rFonts w:ascii="Times New Roman" w:eastAsia="DengXian" w:hAnsi="Times New Roman"/>
          <w:bCs/>
          <w:sz w:val="18"/>
          <w:szCs w:val="18"/>
        </w:rPr>
        <w:t>Epilepsy Behav 2016 ;56 :113-7</w:t>
      </w:r>
    </w:p>
    <w:p w14:paraId="1E81E37A" w14:textId="77777777" w:rsidR="00E57AFD" w:rsidRDefault="00E0076E" w:rsidP="00E57AFD">
      <w:pPr>
        <w:pStyle w:val="Paragraphedeliste"/>
        <w:numPr>
          <w:ilvl w:val="0"/>
          <w:numId w:val="63"/>
        </w:numPr>
        <w:spacing w:after="0" w:line="240" w:lineRule="auto"/>
        <w:ind w:left="426"/>
        <w:jc w:val="both"/>
        <w:outlineLvl w:val="0"/>
        <w:rPr>
          <w:rFonts w:ascii="Times New Roman" w:eastAsia="DengXian" w:hAnsi="Times New Roman"/>
          <w:bCs/>
          <w:sz w:val="18"/>
          <w:szCs w:val="18"/>
          <w:lang w:val="en-US"/>
        </w:rPr>
        <w:sectPr w:rsidR="00E57AFD" w:rsidSect="00FD0359">
          <w:type w:val="continuous"/>
          <w:pgSz w:w="11906" w:h="16838"/>
          <w:pgMar w:top="1134" w:right="851" w:bottom="1418" w:left="1134" w:header="720" w:footer="708" w:gutter="0"/>
          <w:cols w:num="2" w:space="720"/>
          <w:docGrid w:linePitch="326"/>
        </w:sectPr>
      </w:pPr>
      <w:r w:rsidRPr="00E57AFD">
        <w:rPr>
          <w:rFonts w:ascii="Times New Roman" w:eastAsia="DengXian" w:hAnsi="Times New Roman"/>
          <w:bCs/>
          <w:sz w:val="18"/>
          <w:szCs w:val="18"/>
          <w:lang w:val="en-US"/>
        </w:rPr>
        <w:t>Werhahn K. Epilepsy in the elderly. Dtsch Arztebl Int. 2009 Feb ;106(9) :135-42.</w:t>
      </w:r>
    </w:p>
    <w:p w14:paraId="7512D08E" w14:textId="2DAA2CA0" w:rsidR="00E0076E" w:rsidRPr="00E57AFD" w:rsidRDefault="00E0076E" w:rsidP="00E57AFD">
      <w:pPr>
        <w:pStyle w:val="Paragraphedeliste"/>
        <w:spacing w:after="0" w:line="240" w:lineRule="auto"/>
        <w:ind w:left="426"/>
        <w:jc w:val="both"/>
        <w:outlineLvl w:val="0"/>
        <w:rPr>
          <w:rFonts w:ascii="Times New Roman" w:eastAsia="DengXian" w:hAnsi="Times New Roman"/>
          <w:bCs/>
          <w:sz w:val="18"/>
          <w:szCs w:val="18"/>
          <w:lang w:val="en-US"/>
        </w:rPr>
      </w:pPr>
    </w:p>
    <w:sectPr w:rsidR="00E0076E" w:rsidRPr="00E57AFD" w:rsidSect="00FD0359">
      <w:type w:val="continuous"/>
      <w:pgSz w:w="11906" w:h="16838"/>
      <w:pgMar w:top="1134" w:right="851" w:bottom="1418" w:left="1134" w:header="720" w:footer="708" w:gutter="0"/>
      <w:cols w:num="2"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72A22" w14:textId="77777777" w:rsidR="003A47A3" w:rsidRPr="00AF2A5D" w:rsidRDefault="003A47A3">
      <w:pPr>
        <w:spacing w:after="0" w:line="240" w:lineRule="auto"/>
      </w:pPr>
      <w:r w:rsidRPr="00AF2A5D">
        <w:separator/>
      </w:r>
    </w:p>
  </w:endnote>
  <w:endnote w:type="continuationSeparator" w:id="0">
    <w:p w14:paraId="7DE7794B" w14:textId="77777777" w:rsidR="003A47A3" w:rsidRPr="00AF2A5D" w:rsidRDefault="003A47A3">
      <w:pPr>
        <w:spacing w:after="0" w:line="240" w:lineRule="auto"/>
      </w:pPr>
      <w:r w:rsidRPr="00AF2A5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n-e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0D0E8" w14:textId="77777777" w:rsidR="009B0CAD" w:rsidRPr="00AF2A5D" w:rsidRDefault="009B0CAD">
    <w:pPr>
      <w:spacing w:after="0" w:line="259" w:lineRule="auto"/>
      <w:ind w:left="0" w:right="-2" w:firstLine="0"/>
      <w:jc w:val="right"/>
    </w:pPr>
    <w:r w:rsidRPr="00AF2A5D">
      <w:fldChar w:fldCharType="begin"/>
    </w:r>
    <w:r w:rsidRPr="00AF2A5D">
      <w:instrText xml:space="preserve"> PAGE   \* MERGEFORMAT </w:instrText>
    </w:r>
    <w:r w:rsidRPr="00AF2A5D">
      <w:fldChar w:fldCharType="separate"/>
    </w:r>
    <w:r w:rsidRPr="00AF2A5D">
      <w:rPr>
        <w:rFonts w:ascii="Calibri" w:eastAsia="Calibri" w:hAnsi="Calibri" w:cs="Calibri"/>
        <w:sz w:val="22"/>
      </w:rPr>
      <w:t>1</w:t>
    </w:r>
    <w:r w:rsidRPr="00AF2A5D">
      <w:rPr>
        <w:rFonts w:ascii="Calibri" w:eastAsia="Calibri" w:hAnsi="Calibri" w:cs="Calibri"/>
        <w:sz w:val="22"/>
      </w:rPr>
      <w:fldChar w:fldCharType="end"/>
    </w:r>
    <w:r w:rsidRPr="00AF2A5D">
      <w:rPr>
        <w:rFonts w:ascii="Calibri" w:eastAsia="Calibri" w:hAnsi="Calibri" w:cs="Calibri"/>
        <w:sz w:val="22"/>
      </w:rPr>
      <w:t xml:space="preserve"> </w:t>
    </w:r>
  </w:p>
  <w:p w14:paraId="218B11E0" w14:textId="77777777" w:rsidR="009B0CAD" w:rsidRPr="00AF2A5D" w:rsidRDefault="009B0CAD">
    <w:pPr>
      <w:spacing w:after="0" w:line="259" w:lineRule="auto"/>
      <w:ind w:left="76" w:firstLine="0"/>
    </w:pPr>
    <w:r w:rsidRPr="00AF2A5D">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B570" w14:textId="0BD801EE" w:rsidR="009B0CAD" w:rsidRPr="004C1DFC" w:rsidRDefault="002C552B" w:rsidP="00D506D1">
    <w:pPr>
      <w:pStyle w:val="Pieddepage"/>
      <w:tabs>
        <w:tab w:val="left" w:pos="4140"/>
      </w:tabs>
      <w:rPr>
        <w:rFonts w:ascii="Times New Roman"/>
        <w:sz w:val="20"/>
        <w:szCs w:val="20"/>
        <w:lang w:val="en-US"/>
      </w:rPr>
    </w:pPr>
    <w:r w:rsidRPr="00AF2A5D">
      <w:rPr>
        <w:rFonts w:ascii="Times New Roman"/>
        <w:noProof/>
        <w:sz w:val="20"/>
        <w:szCs w:val="20"/>
      </w:rPr>
      <mc:AlternateContent>
        <mc:Choice Requires="wps">
          <w:drawing>
            <wp:anchor distT="0" distB="0" distL="114300" distR="114300" simplePos="0" relativeHeight="251669504" behindDoc="0" locked="0" layoutInCell="1" allowOverlap="1" wp14:anchorId="2756F96F" wp14:editId="0D0728C6">
              <wp:simplePos x="0" y="0"/>
              <wp:positionH relativeFrom="column">
                <wp:posOffset>3365817</wp:posOffset>
              </wp:positionH>
              <wp:positionV relativeFrom="paragraph">
                <wp:posOffset>-53975</wp:posOffset>
              </wp:positionV>
              <wp:extent cx="2565400" cy="418465"/>
              <wp:effectExtent l="0" t="0" r="6350" b="635"/>
              <wp:wrapNone/>
              <wp:docPr id="25" name="Zone de texte 6"/>
              <wp:cNvGraphicFramePr/>
              <a:graphic xmlns:a="http://schemas.openxmlformats.org/drawingml/2006/main">
                <a:graphicData uri="http://schemas.microsoft.com/office/word/2010/wordprocessingShape">
                  <wps:wsp>
                    <wps:cNvSpPr txBox="1"/>
                    <wps:spPr>
                      <a:xfrm>
                        <a:off x="0" y="0"/>
                        <a:ext cx="2565400" cy="418465"/>
                      </a:xfrm>
                      <a:prstGeom prst="rect">
                        <a:avLst/>
                      </a:prstGeom>
                      <a:solidFill>
                        <a:schemeClr val="lt1"/>
                      </a:solidFill>
                      <a:ln w="6350">
                        <a:noFill/>
                      </a:ln>
                    </wps:spPr>
                    <wps:txbx>
                      <w:txbxContent>
                        <w:p w14:paraId="2DDFCE45" w14:textId="31ED47E8" w:rsidR="002C552B" w:rsidRPr="00AF2A5D" w:rsidRDefault="0001236B">
                          <w:pPr>
                            <w:ind w:left="0"/>
                          </w:pPr>
                          <w:bookmarkStart w:id="7" w:name="_Hlk213351797"/>
                          <w:bookmarkEnd w:id="7"/>
                          <w:r w:rsidRPr="00AF2A5D">
                            <w:rPr>
                              <w:noProof/>
                            </w:rPr>
                            <w:drawing>
                              <wp:inline distT="0" distB="0" distL="0" distR="0" wp14:anchorId="76EC527D" wp14:editId="481CA3A8">
                                <wp:extent cx="2385695" cy="286770"/>
                                <wp:effectExtent l="0" t="0" r="0" b="0"/>
                                <wp:docPr id="1730570527"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570527" name="Image 8"/>
                                        <pic:cNvPicPr/>
                                      </pic:nvPicPr>
                                      <pic:blipFill>
                                        <a:blip r:embed="rId1">
                                          <a:extLst>
                                            <a:ext uri="{28A0092B-C50C-407E-A947-70E740481C1C}">
                                              <a14:useLocalDpi xmlns:a14="http://schemas.microsoft.com/office/drawing/2010/main" val="0"/>
                                            </a:ext>
                                          </a:extLst>
                                        </a:blip>
                                        <a:stretch>
                                          <a:fillRect/>
                                        </a:stretch>
                                      </pic:blipFill>
                                      <pic:spPr>
                                        <a:xfrm>
                                          <a:off x="0" y="0"/>
                                          <a:ext cx="2399782" cy="288463"/>
                                        </a:xfrm>
                                        <a:prstGeom prst="rect">
                                          <a:avLst/>
                                        </a:prstGeom>
                                      </pic:spPr>
                                    </pic:pic>
                                  </a:graphicData>
                                </a:graphic>
                              </wp:inline>
                            </w:drawing>
                          </w:r>
                          <w:r w:rsidR="005F6689" w:rsidRPr="00AF2A5D">
                            <w:rPr>
                              <w:noProof/>
                            </w:rPr>
                            <w:drawing>
                              <wp:inline distT="0" distB="0" distL="0" distR="0" wp14:anchorId="098865F0" wp14:editId="50BB5226">
                                <wp:extent cx="2376170" cy="267970"/>
                                <wp:effectExtent l="0" t="0" r="5080" b="0"/>
                                <wp:docPr id="40405035"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376170" cy="267970"/>
                                        </a:xfrm>
                                        <a:prstGeom prst="rect">
                                          <a:avLst/>
                                        </a:prstGeom>
                                      </pic:spPr>
                                    </pic:pic>
                                  </a:graphicData>
                                </a:graphic>
                              </wp:inline>
                            </w:drawing>
                          </w:r>
                          <w:r w:rsidR="005F6689" w:rsidRPr="00AF2A5D">
                            <w:t xml:space="preserve"> </w:t>
                          </w:r>
                          <w:r w:rsidR="00616173" w:rsidRPr="00AF2A5D">
                            <w:rPr>
                              <w:noProof/>
                            </w:rPr>
                            <w:drawing>
                              <wp:inline distT="0" distB="0" distL="0" distR="0" wp14:anchorId="45A5D76D" wp14:editId="44B22657">
                                <wp:extent cx="2376170" cy="284480"/>
                                <wp:effectExtent l="0" t="0" r="5080" b="1270"/>
                                <wp:docPr id="13982273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927108" name=""/>
                                        <pic:cNvPicPr/>
                                      </pic:nvPicPr>
                                      <pic:blipFill>
                                        <a:blip r:embed="rId3"/>
                                        <a:stretch>
                                          <a:fillRect/>
                                        </a:stretch>
                                      </pic:blipFill>
                                      <pic:spPr>
                                        <a:xfrm>
                                          <a:off x="0" y="0"/>
                                          <a:ext cx="2376170" cy="284480"/>
                                        </a:xfrm>
                                        <a:prstGeom prst="rect">
                                          <a:avLst/>
                                        </a:prstGeom>
                                      </pic:spPr>
                                    </pic:pic>
                                  </a:graphicData>
                                </a:graphic>
                              </wp:inline>
                            </w:drawing>
                          </w:r>
                          <w:r w:rsidR="002C552B" w:rsidRPr="00AF2A5D">
                            <w:rPr>
                              <w:noProof/>
                            </w:rPr>
                            <w:drawing>
                              <wp:inline distT="0" distB="0" distL="0" distR="0" wp14:anchorId="39368B3B" wp14:editId="48C831F1">
                                <wp:extent cx="2376825" cy="317236"/>
                                <wp:effectExtent l="0" t="0" r="4445" b="6985"/>
                                <wp:docPr id="24771436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54439" cy="32759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6F96F" id="_x0000_t202" coordsize="21600,21600" o:spt="202" path="m,l,21600r21600,l21600,xe">
              <v:stroke joinstyle="miter"/>
              <v:path gradientshapeok="t" o:connecttype="rect"/>
            </v:shapetype>
            <v:shape id="Zone de texte 6" o:spid="_x0000_s1028" type="#_x0000_t202" style="position:absolute;margin-left:265pt;margin-top:-4.25pt;width:202pt;height:3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" fillcolor="white [3201]" stroked="f" strokeweight=".5pt">
              <v:textbox>
                <w:txbxContent>
                  <w:p w14:paraId="2DDFCE45" w14:textId="31ED47E8" w:rsidR="002C552B" w:rsidRPr="00AF2A5D" w:rsidRDefault="0001236B">
                    <w:pPr>
                      <w:ind w:left="0"/>
                    </w:pPr>
                    <w:bookmarkStart w:id="8" w:name="_Hlk213351797"/>
                    <w:bookmarkEnd w:id="8"/>
                    <w:r w:rsidRPr="00AF2A5D">
                      <w:rPr>
                        <w:noProof/>
                      </w:rPr>
                      <w:drawing>
                        <wp:inline distT="0" distB="0" distL="0" distR="0" wp14:anchorId="76EC527D" wp14:editId="481CA3A8">
                          <wp:extent cx="2385695" cy="286770"/>
                          <wp:effectExtent l="0" t="0" r="0" b="0"/>
                          <wp:docPr id="1730570527"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0570527" name="Image 8"/>
                                  <pic:cNvPicPr/>
                                </pic:nvPicPr>
                                <pic:blipFill>
                                  <a:blip r:embed="rId1">
                                    <a:extLst>
                                      <a:ext uri="{28A0092B-C50C-407E-A947-70E740481C1C}">
                                        <a14:useLocalDpi xmlns:a14="http://schemas.microsoft.com/office/drawing/2010/main" val="0"/>
                                      </a:ext>
                                    </a:extLst>
                                  </a:blip>
                                  <a:stretch>
                                    <a:fillRect/>
                                  </a:stretch>
                                </pic:blipFill>
                                <pic:spPr>
                                  <a:xfrm>
                                    <a:off x="0" y="0"/>
                                    <a:ext cx="2399782" cy="288463"/>
                                  </a:xfrm>
                                  <a:prstGeom prst="rect">
                                    <a:avLst/>
                                  </a:prstGeom>
                                </pic:spPr>
                              </pic:pic>
                            </a:graphicData>
                          </a:graphic>
                        </wp:inline>
                      </w:drawing>
                    </w:r>
                    <w:r w:rsidR="005F6689" w:rsidRPr="00AF2A5D">
                      <w:rPr>
                        <w:noProof/>
                      </w:rPr>
                      <w:drawing>
                        <wp:inline distT="0" distB="0" distL="0" distR="0" wp14:anchorId="098865F0" wp14:editId="50BB5226">
                          <wp:extent cx="2376170" cy="267970"/>
                          <wp:effectExtent l="0" t="0" r="5080" b="0"/>
                          <wp:docPr id="40405035"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376170" cy="267970"/>
                                  </a:xfrm>
                                  <a:prstGeom prst="rect">
                                    <a:avLst/>
                                  </a:prstGeom>
                                </pic:spPr>
                              </pic:pic>
                            </a:graphicData>
                          </a:graphic>
                        </wp:inline>
                      </w:drawing>
                    </w:r>
                    <w:r w:rsidR="005F6689" w:rsidRPr="00AF2A5D">
                      <w:t xml:space="preserve"> </w:t>
                    </w:r>
                    <w:r w:rsidR="00616173" w:rsidRPr="00AF2A5D">
                      <w:rPr>
                        <w:noProof/>
                      </w:rPr>
                      <w:drawing>
                        <wp:inline distT="0" distB="0" distL="0" distR="0" wp14:anchorId="45A5D76D" wp14:editId="44B22657">
                          <wp:extent cx="2376170" cy="284480"/>
                          <wp:effectExtent l="0" t="0" r="5080" b="1270"/>
                          <wp:docPr id="139822732"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927108" name=""/>
                                  <pic:cNvPicPr/>
                                </pic:nvPicPr>
                                <pic:blipFill>
                                  <a:blip r:embed="rId3"/>
                                  <a:stretch>
                                    <a:fillRect/>
                                  </a:stretch>
                                </pic:blipFill>
                                <pic:spPr>
                                  <a:xfrm>
                                    <a:off x="0" y="0"/>
                                    <a:ext cx="2376170" cy="284480"/>
                                  </a:xfrm>
                                  <a:prstGeom prst="rect">
                                    <a:avLst/>
                                  </a:prstGeom>
                                </pic:spPr>
                              </pic:pic>
                            </a:graphicData>
                          </a:graphic>
                        </wp:inline>
                      </w:drawing>
                    </w:r>
                    <w:r w:rsidR="002C552B" w:rsidRPr="00AF2A5D">
                      <w:rPr>
                        <w:noProof/>
                      </w:rPr>
                      <w:drawing>
                        <wp:inline distT="0" distB="0" distL="0" distR="0" wp14:anchorId="39368B3B" wp14:editId="48C831F1">
                          <wp:extent cx="2376825" cy="317236"/>
                          <wp:effectExtent l="0" t="0" r="4445" b="6985"/>
                          <wp:docPr id="247714366"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454439" cy="327595"/>
                                  </a:xfrm>
                                  <a:prstGeom prst="rect">
                                    <a:avLst/>
                                  </a:prstGeom>
                                  <a:noFill/>
                                  <a:ln>
                                    <a:noFill/>
                                  </a:ln>
                                </pic:spPr>
                              </pic:pic>
                            </a:graphicData>
                          </a:graphic>
                        </wp:inline>
                      </w:drawing>
                    </w:r>
                  </w:p>
                </w:txbxContent>
              </v:textbox>
            </v:shape>
          </w:pict>
        </mc:Fallback>
      </mc:AlternateContent>
    </w:r>
    <w:r w:rsidR="006E6CAC" w:rsidRPr="00AF2A5D">
      <w:rPr>
        <w:rFonts w:ascii="Times New Roman"/>
        <w:noProof/>
        <w:sz w:val="20"/>
        <w:szCs w:val="20"/>
      </w:rPr>
      <mc:AlternateContent>
        <mc:Choice Requires="wpg">
          <w:drawing>
            <wp:anchor distT="0" distB="0" distL="114300" distR="114300" simplePos="0" relativeHeight="251668480" behindDoc="1" locked="0" layoutInCell="0" allowOverlap="1" wp14:anchorId="6BCC1D20" wp14:editId="5B1FA85C">
              <wp:simplePos x="0" y="0"/>
              <wp:positionH relativeFrom="page">
                <wp:posOffset>6565900</wp:posOffset>
              </wp:positionH>
              <wp:positionV relativeFrom="page">
                <wp:posOffset>9921875</wp:posOffset>
              </wp:positionV>
              <wp:extent cx="419100" cy="321945"/>
              <wp:effectExtent l="3175" t="15875" r="0" b="14605"/>
              <wp:wrapTight wrapText="bothSides">
                <wp:wrapPolygon edited="0">
                  <wp:start x="9327" y="0"/>
                  <wp:lineTo x="2945" y="1917"/>
                  <wp:lineTo x="0" y="5070"/>
                  <wp:lineTo x="0" y="16530"/>
                  <wp:lineTo x="3436" y="20322"/>
                  <wp:lineTo x="9327" y="20961"/>
                  <wp:lineTo x="11782" y="20961"/>
                  <wp:lineTo x="17673" y="20322"/>
                  <wp:lineTo x="21109" y="15891"/>
                  <wp:lineTo x="21109" y="5709"/>
                  <wp:lineTo x="17182" y="1278"/>
                  <wp:lineTo x="11782" y="0"/>
                  <wp:lineTo x="9327" y="0"/>
                </wp:wrapPolygon>
              </wp:wrapTight>
              <wp:docPr id="1" name="Groupe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00" cy="321945"/>
                        <a:chOff x="1731" y="14550"/>
                        <a:chExt cx="660" cy="507"/>
                      </a:xfrm>
                    </wpg:grpSpPr>
                    <wps:wsp>
                      <wps:cNvPr id="4" name="Losange 1"/>
                      <wps:cNvSpPr>
                        <a:spLocks noChangeArrowheads="1"/>
                      </wps:cNvSpPr>
                      <wps:spPr bwMode="auto">
                        <a:xfrm>
                          <a:off x="1793" y="14550"/>
                          <a:ext cx="536" cy="507"/>
                        </a:xfrm>
                        <a:prstGeom prst="diamond">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2"/>
                      <wps:cNvSpPr>
                        <a:spLocks noChangeArrowheads="1"/>
                      </wps:cNvSpPr>
                      <wps:spPr bwMode="auto">
                        <a:xfrm>
                          <a:off x="1848" y="14616"/>
                          <a:ext cx="427" cy="375"/>
                        </a:xfrm>
                        <a:prstGeom prst="rect">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Zone de texte 3"/>
                      <wps:cNvSpPr txBox="1">
                        <a:spLocks noChangeArrowheads="1"/>
                      </wps:cNvSpPr>
                      <wps:spPr bwMode="auto">
                        <a:xfrm>
                          <a:off x="1731" y="14639"/>
                          <a:ext cx="66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4BCF2" w14:textId="77777777" w:rsidR="009B0CAD" w:rsidRPr="00AF2A5D" w:rsidRDefault="009B0CAD" w:rsidP="00D506D1">
                            <w:pPr>
                              <w:jc w:val="center"/>
                              <w:rPr>
                                <w:color w:val="17365D"/>
                                <w:sz w:val="16"/>
                                <w:szCs w:val="16"/>
                              </w:rPr>
                            </w:pPr>
                            <w:r w:rsidRPr="00AF2A5D">
                              <w:rPr>
                                <w:color w:val="auto"/>
                                <w:sz w:val="22"/>
                              </w:rPr>
                              <w:fldChar w:fldCharType="begin"/>
                            </w:r>
                            <w:r w:rsidRPr="00AF2A5D">
                              <w:instrText>PAGE   \* MERGEFORMAT</w:instrText>
                            </w:r>
                            <w:r w:rsidRPr="00AF2A5D">
                              <w:rPr>
                                <w:color w:val="auto"/>
                                <w:sz w:val="22"/>
                              </w:rPr>
                              <w:fldChar w:fldCharType="separate"/>
                            </w:r>
                            <w:r w:rsidRPr="00AF2A5D">
                              <w:rPr>
                                <w:color w:val="17365D"/>
                                <w:sz w:val="16"/>
                                <w:szCs w:val="16"/>
                              </w:rPr>
                              <w:t>54</w:t>
                            </w:r>
                            <w:r w:rsidRPr="00AF2A5D">
                              <w:rPr>
                                <w:color w:val="17365D"/>
                                <w:sz w:val="16"/>
                                <w:szCs w:val="16"/>
                              </w:rPr>
                              <w:fldChar w:fldCharType="end"/>
                            </w:r>
                          </w:p>
                        </w:txbxContent>
                      </wps:txbx>
                      <wps:bodyPr rot="0" vert="horz" wrap="square" lIns="0" tIns="27432" rIns="0" bIns="0" anchor="t" anchorCtr="0" upright="1">
                        <a:noAutofit/>
                      </wps:bodyPr>
                    </wps:wsp>
                    <wpg:grpSp>
                      <wpg:cNvPr id="7" name="Grouper 7"/>
                      <wpg:cNvGrpSpPr>
                        <a:grpSpLocks/>
                      </wpg:cNvGrpSpPr>
                      <wpg:grpSpPr bwMode="auto">
                        <a:xfrm>
                          <a:off x="1783" y="14647"/>
                          <a:ext cx="562" cy="314"/>
                          <a:chOff x="1715" y="14936"/>
                          <a:chExt cx="672" cy="376"/>
                        </a:xfrm>
                      </wpg:grpSpPr>
                      <wps:wsp>
                        <wps:cNvPr id="9" name="Forme libre 4"/>
                        <wps:cNvSpPr>
                          <a:spLocks/>
                        </wps:cNvSpPr>
                        <wps:spPr bwMode="auto">
                          <a:xfrm rot="-5400000">
                            <a:off x="1792" y="14859"/>
                            <a:ext cx="375" cy="530"/>
                          </a:xfrm>
                          <a:custGeom>
                            <a:avLst/>
                            <a:gdLst>
                              <a:gd name="T0" fmla="*/ 328 w 21600"/>
                              <a:gd name="T1" fmla="*/ 265 h 21600"/>
                              <a:gd name="T2" fmla="*/ 188 w 21600"/>
                              <a:gd name="T3" fmla="*/ 530 h 21600"/>
                              <a:gd name="T4" fmla="*/ 47 w 21600"/>
                              <a:gd name="T5" fmla="*/ 265 h 21600"/>
                              <a:gd name="T6" fmla="*/ 188 w 21600"/>
                              <a:gd name="T7" fmla="*/ 0 h 21600"/>
                              <a:gd name="T8" fmla="*/ 0 60000 65536"/>
                              <a:gd name="T9" fmla="*/ 0 60000 65536"/>
                              <a:gd name="T10" fmla="*/ 0 60000 65536"/>
                              <a:gd name="T11" fmla="*/ 0 60000 65536"/>
                              <a:gd name="T12" fmla="*/ 4493 w 21600"/>
                              <a:gd name="T13" fmla="*/ 4483 h 21600"/>
                              <a:gd name="T14" fmla="*/ 17107 w 21600"/>
                              <a:gd name="T15" fmla="*/ 17117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orme libre 5"/>
                        <wps:cNvSpPr>
                          <a:spLocks/>
                        </wps:cNvSpPr>
                        <wps:spPr bwMode="auto">
                          <a:xfrm rot="5400000" flipH="1">
                            <a:off x="1934" y="14858"/>
                            <a:ext cx="375" cy="530"/>
                          </a:xfrm>
                          <a:custGeom>
                            <a:avLst/>
                            <a:gdLst>
                              <a:gd name="T0" fmla="*/ 328 w 21600"/>
                              <a:gd name="T1" fmla="*/ 265 h 21600"/>
                              <a:gd name="T2" fmla="*/ 188 w 21600"/>
                              <a:gd name="T3" fmla="*/ 530 h 21600"/>
                              <a:gd name="T4" fmla="*/ 47 w 21600"/>
                              <a:gd name="T5" fmla="*/ 265 h 21600"/>
                              <a:gd name="T6" fmla="*/ 188 w 21600"/>
                              <a:gd name="T7" fmla="*/ 0 h 21600"/>
                              <a:gd name="T8" fmla="*/ 0 60000 65536"/>
                              <a:gd name="T9" fmla="*/ 0 60000 65536"/>
                              <a:gd name="T10" fmla="*/ 0 60000 65536"/>
                              <a:gd name="T11" fmla="*/ 0 60000 65536"/>
                              <a:gd name="T12" fmla="*/ 4493 w 21600"/>
                              <a:gd name="T13" fmla="*/ 4483 h 21600"/>
                              <a:gd name="T14" fmla="*/ 17107 w 21600"/>
                              <a:gd name="T15" fmla="*/ 17117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BCC1D20" id="Groupe 7" o:spid="_x0000_s1029" style="position:absolute;margin-left:517pt;margin-top:781.25pt;width:33pt;height:25.35pt;z-index:-251648000;mso-position-horizontal-relative:page;mso-position-vertical-relative:page"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" o:allowincell="f">
              <v:shapetype id="_x0000_t4" coordsize="21600,21600" o:spt="4" path="m10800,l,10800,10800,21600,21600,10800xe">
                <v:stroke joinstyle="miter"/>
                <v:path gradientshapeok="t" o:connecttype="rect" textboxrect="5400,5400,16200,16200"/>
              </v:shapetype>
              <v:shape id="Losange 1" o:spid="_x0000_s1030" type="#_x0000_t4" style="position:absolute;left:1793;top:14550;width:536;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" filled="f" strokecolor="#a5a5a5"/>
              <v:rect id="Rectangle 2" o:spid="_x0000_s1031" style="position:absolute;left:1848;top:14616;width:427;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" filled="f" strokecolor="#a5a5a5"/>
              <v:shape id="_x0000_s1032" type="#_x0000_t202" style="position:absolute;left:1731;top:14639;width:66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" filled="f" stroked="f">
                <v:textbox inset="0,2.16pt,0,0">
                  <w:txbxContent>
                    <w:p w14:paraId="0804BCF2" w14:textId="77777777" w:rsidR="009B0CAD" w:rsidRPr="00AF2A5D" w:rsidRDefault="009B0CAD" w:rsidP="00D506D1">
                      <w:pPr>
                        <w:jc w:val="center"/>
                        <w:rPr>
                          <w:color w:val="17365D"/>
                          <w:sz w:val="16"/>
                          <w:szCs w:val="16"/>
                        </w:rPr>
                      </w:pPr>
                      <w:r w:rsidRPr="00AF2A5D">
                        <w:rPr>
                          <w:color w:val="auto"/>
                          <w:sz w:val="22"/>
                        </w:rPr>
                        <w:fldChar w:fldCharType="begin"/>
                      </w:r>
                      <w:r w:rsidRPr="00AF2A5D">
                        <w:instrText>PAGE   \* MERGEFORMAT</w:instrText>
                      </w:r>
                      <w:r w:rsidRPr="00AF2A5D">
                        <w:rPr>
                          <w:color w:val="auto"/>
                          <w:sz w:val="22"/>
                        </w:rPr>
                        <w:fldChar w:fldCharType="separate"/>
                      </w:r>
                      <w:r w:rsidRPr="00AF2A5D">
                        <w:rPr>
                          <w:color w:val="17365D"/>
                          <w:sz w:val="16"/>
                          <w:szCs w:val="16"/>
                        </w:rPr>
                        <w:t>54</w:t>
                      </w:r>
                      <w:r w:rsidRPr="00AF2A5D">
                        <w:rPr>
                          <w:color w:val="17365D"/>
                          <w:sz w:val="16"/>
                          <w:szCs w:val="16"/>
                        </w:rPr>
                        <w:fldChar w:fldCharType="end"/>
                      </w:r>
                    </w:p>
                  </w:txbxContent>
                </v:textbox>
              </v:shape>
              <v:group id="Grouper 7" o:spid="_x0000_s1033" style="position:absolute;left:1783;top:14647;width:562;height:314" coordorigin="1715,14936" coordsize="672,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Forme libre 4" o:spid="_x0000_s1034" style="position:absolute;left:1792;top:14859;width:375;height:530;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" path="m,l5400,21600r10800,l21600,,,xe" filled="f" strokecolor="#a5a5a5">
                  <v:stroke joinstyle="miter"/>
                  <v:path arrowok="t" o:connecttype="custom" o:connectlocs="6,7;3,13;1,7;3,0" o:connectangles="0,0,0,0" textboxrect="4493,4483,17107,17117"/>
                </v:shape>
                <v:shape id="Forme libre 5" o:spid="_x0000_s1035" style="position:absolute;left:1934;top:14858;width:375;height:530;rotation:-90;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" path="m,l5400,21600r10800,l21600,,,xe" filled="f" strokecolor="#a5a5a5">
                  <v:stroke joinstyle="miter"/>
                  <v:path arrowok="t" o:connecttype="custom" o:connectlocs="6,7;3,13;1,7;3,0" o:connectangles="0,0,0,0" textboxrect="4493,4483,17107,17117"/>
                </v:shape>
              </v:group>
              <w10:wrap type="tight" anchorx="page" anchory="page"/>
            </v:group>
          </w:pict>
        </mc:Fallback>
      </mc:AlternateContent>
    </w:r>
    <w:r w:rsidR="008616F9" w:rsidRPr="004C1DFC">
      <w:rPr>
        <w:rFonts w:ascii="Times New Roman" w:hAnsi="Times New Roman"/>
        <w:sz w:val="20"/>
        <w:szCs w:val="20"/>
        <w:lang w:val="en-US"/>
      </w:rPr>
      <w:t>Health Res. Afr</w:t>
    </w:r>
    <w:r w:rsidR="00DC368A" w:rsidRPr="004C1DFC">
      <w:rPr>
        <w:rFonts w:ascii="Times New Roman" w:hAnsi="Times New Roman"/>
        <w:sz w:val="20"/>
        <w:szCs w:val="20"/>
        <w:lang w:val="en-US"/>
      </w:rPr>
      <w:t>.</w:t>
    </w:r>
    <w:r w:rsidR="008616F9" w:rsidRPr="004C1DFC">
      <w:rPr>
        <w:rFonts w:ascii="Times New Roman" w:hAnsi="Times New Roman"/>
        <w:sz w:val="20"/>
        <w:szCs w:val="20"/>
        <w:lang w:val="en-US"/>
      </w:rPr>
      <w:t xml:space="preserve">: Vol </w:t>
    </w:r>
    <w:r w:rsidR="0001236B" w:rsidRPr="004C1DFC">
      <w:rPr>
        <w:rFonts w:ascii="Times New Roman" w:hAnsi="Times New Roman"/>
        <w:sz w:val="20"/>
        <w:szCs w:val="20"/>
        <w:lang w:val="en-US"/>
      </w:rPr>
      <w:t>4</w:t>
    </w:r>
    <w:r w:rsidR="00B81DC9" w:rsidRPr="004C1DFC">
      <w:rPr>
        <w:rFonts w:ascii="Times New Roman" w:hAnsi="Times New Roman"/>
        <w:sz w:val="20"/>
        <w:szCs w:val="20"/>
        <w:lang w:val="en-US"/>
      </w:rPr>
      <w:t>;</w:t>
    </w:r>
    <w:r w:rsidR="008616F9" w:rsidRPr="004C1DFC">
      <w:rPr>
        <w:rFonts w:ascii="Times New Roman" w:hAnsi="Times New Roman"/>
        <w:sz w:val="20"/>
        <w:szCs w:val="20"/>
        <w:lang w:val="en-US"/>
      </w:rPr>
      <w:t xml:space="preserve"> </w:t>
    </w:r>
    <w:r w:rsidR="009B0CAD" w:rsidRPr="004C1DFC">
      <w:rPr>
        <w:rFonts w:ascii="Times New Roman"/>
        <w:sz w:val="20"/>
        <w:szCs w:val="20"/>
        <w:lang w:val="en-US"/>
      </w:rPr>
      <w:t>(</w:t>
    </w:r>
    <w:r w:rsidR="00186F60">
      <w:rPr>
        <w:rFonts w:ascii="Times New Roman"/>
        <w:sz w:val="20"/>
        <w:szCs w:val="20"/>
        <w:lang w:val="en-US"/>
      </w:rPr>
      <w:t>5</w:t>
    </w:r>
    <w:r w:rsidR="009B0CAD" w:rsidRPr="004C1DFC">
      <w:rPr>
        <w:rFonts w:ascii="Times New Roman"/>
        <w:sz w:val="20"/>
        <w:szCs w:val="20"/>
        <w:lang w:val="en-US"/>
      </w:rPr>
      <w:t>)</w:t>
    </w:r>
    <w:r w:rsidR="00B81DC9" w:rsidRPr="004C1DFC">
      <w:rPr>
        <w:rFonts w:ascii="Times New Roman"/>
        <w:sz w:val="20"/>
        <w:szCs w:val="20"/>
        <w:lang w:val="en-US"/>
      </w:rPr>
      <w:t>,</w:t>
    </w:r>
    <w:r w:rsidR="00096232" w:rsidRPr="004C1DFC">
      <w:rPr>
        <w:rFonts w:ascii="Times New Roman"/>
        <w:sz w:val="20"/>
        <w:szCs w:val="20"/>
        <w:lang w:val="en-US"/>
      </w:rPr>
      <w:t xml:space="preserve"> </w:t>
    </w:r>
    <w:r w:rsidR="00186F60">
      <w:rPr>
        <w:rFonts w:ascii="Times New Roman"/>
        <w:sz w:val="20"/>
        <w:szCs w:val="20"/>
        <w:lang w:val="en-US"/>
      </w:rPr>
      <w:t>May</w:t>
    </w:r>
    <w:r w:rsidR="009B0CAD" w:rsidRPr="004C1DFC">
      <w:rPr>
        <w:rFonts w:ascii="Times New Roman"/>
        <w:sz w:val="20"/>
        <w:szCs w:val="20"/>
        <w:lang w:val="en-US"/>
      </w:rPr>
      <w:t xml:space="preserve"> 202</w:t>
    </w:r>
    <w:r w:rsidR="0001236B" w:rsidRPr="004C1DFC">
      <w:rPr>
        <w:rFonts w:ascii="Times New Roman"/>
        <w:sz w:val="20"/>
        <w:szCs w:val="20"/>
        <w:lang w:val="en-US"/>
      </w:rPr>
      <w:t>6</w:t>
    </w:r>
    <w:r w:rsidR="00B81DC9" w:rsidRPr="004C1DFC">
      <w:rPr>
        <w:rFonts w:ascii="Times New Roman"/>
        <w:sz w:val="20"/>
        <w:szCs w:val="20"/>
        <w:lang w:val="en-US"/>
      </w:rPr>
      <w:t>,</w:t>
    </w:r>
    <w:r w:rsidR="009B0CAD" w:rsidRPr="004C1DFC">
      <w:rPr>
        <w:rFonts w:ascii="Times New Roman"/>
        <w:sz w:val="20"/>
        <w:szCs w:val="20"/>
        <w:lang w:val="en-US"/>
      </w:rPr>
      <w:t xml:space="preserve"> pp </w:t>
    </w:r>
    <w:r w:rsidR="00C95BFB">
      <w:rPr>
        <w:rFonts w:ascii="Times New Roman"/>
        <w:sz w:val="20"/>
        <w:szCs w:val="20"/>
        <w:lang w:val="en-US"/>
      </w:rPr>
      <w:t>43-47</w:t>
    </w:r>
  </w:p>
  <w:p w14:paraId="56183DC3" w14:textId="5075BF49" w:rsidR="009B0CAD" w:rsidRPr="004C1DFC" w:rsidRDefault="009B0CAD" w:rsidP="00D506D1">
    <w:pPr>
      <w:pStyle w:val="Pieddepage"/>
      <w:tabs>
        <w:tab w:val="left" w:pos="3008"/>
      </w:tabs>
      <w:rPr>
        <w:sz w:val="20"/>
        <w:szCs w:val="20"/>
        <w:lang w:val="en-US"/>
      </w:rPr>
    </w:pPr>
    <w:r w:rsidRPr="004C1DFC">
      <w:rPr>
        <w:rFonts w:ascii="Times New Roman"/>
        <w:sz w:val="20"/>
        <w:szCs w:val="20"/>
        <w:lang w:val="en-US"/>
      </w:rPr>
      <w:t xml:space="preserve">Available free </w:t>
    </w:r>
    <w:r w:rsidR="002C552B" w:rsidRPr="004C1DFC">
      <w:rPr>
        <w:rFonts w:ascii="Times New Roman"/>
        <w:sz w:val="20"/>
        <w:szCs w:val="20"/>
        <w:lang w:val="en-US"/>
      </w:rPr>
      <w:t xml:space="preserve">at </w:t>
    </w:r>
    <w:bookmarkStart w:id="9" w:name="_Hlk141609704"/>
    <w:r w:rsidR="002C552B" w:rsidRPr="00AF2A5D">
      <w:rPr>
        <w:rFonts w:ascii="Times New Roman"/>
        <w:sz w:val="20"/>
        <w:szCs w:val="20"/>
      </w:rPr>
      <w:fldChar w:fldCharType="begin"/>
    </w:r>
    <w:r w:rsidR="002C552B" w:rsidRPr="004C1DFC">
      <w:rPr>
        <w:rFonts w:ascii="Times New Roman"/>
        <w:sz w:val="20"/>
        <w:szCs w:val="20"/>
        <w:lang w:val="en-US"/>
      </w:rPr>
      <w:instrText>HYPERLINK "http://hsd-fmsb.org/index.php/hra"</w:instrText>
    </w:r>
    <w:r w:rsidR="002C552B" w:rsidRPr="00AF2A5D">
      <w:rPr>
        <w:rFonts w:ascii="Times New Roman"/>
        <w:sz w:val="20"/>
        <w:szCs w:val="20"/>
      </w:rPr>
    </w:r>
    <w:r w:rsidR="002C552B" w:rsidRPr="00AF2A5D">
      <w:rPr>
        <w:rFonts w:ascii="Times New Roman"/>
        <w:sz w:val="20"/>
        <w:szCs w:val="20"/>
      </w:rPr>
      <w:fldChar w:fldCharType="separate"/>
    </w:r>
    <w:r w:rsidR="002C552B" w:rsidRPr="004C1DFC">
      <w:rPr>
        <w:rStyle w:val="Lienhypertexte"/>
        <w:rFonts w:ascii="Times New Roman"/>
        <w:sz w:val="20"/>
        <w:szCs w:val="20"/>
        <w:lang w:val="en-US"/>
      </w:rPr>
      <w:t>http://hsd-fmsb.org/index.php/hra</w:t>
    </w:r>
    <w:r w:rsidR="002C552B" w:rsidRPr="00AF2A5D">
      <w:rPr>
        <w:rFonts w:ascii="Times New Roman"/>
        <w:sz w:val="20"/>
        <w:szCs w:val="20"/>
      </w:rPr>
      <w:fldChar w:fldCharType="end"/>
    </w:r>
    <w:bookmarkEnd w:id="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DE3FA" w14:textId="77777777" w:rsidR="009B0CAD" w:rsidRPr="00AF2A5D" w:rsidRDefault="009B0CAD">
    <w:pPr>
      <w:spacing w:after="0" w:line="259" w:lineRule="auto"/>
      <w:ind w:left="0" w:right="-2" w:firstLine="0"/>
      <w:jc w:val="right"/>
    </w:pPr>
    <w:r w:rsidRPr="00AF2A5D">
      <w:fldChar w:fldCharType="begin"/>
    </w:r>
    <w:r w:rsidRPr="00AF2A5D">
      <w:instrText xml:space="preserve"> PAGE   \* MERGEFORMAT </w:instrText>
    </w:r>
    <w:r w:rsidRPr="00AF2A5D">
      <w:fldChar w:fldCharType="separate"/>
    </w:r>
    <w:r w:rsidRPr="00AF2A5D">
      <w:rPr>
        <w:rFonts w:ascii="Calibri" w:eastAsia="Calibri" w:hAnsi="Calibri" w:cs="Calibri"/>
        <w:sz w:val="22"/>
      </w:rPr>
      <w:t>1</w:t>
    </w:r>
    <w:r w:rsidRPr="00AF2A5D">
      <w:rPr>
        <w:rFonts w:ascii="Calibri" w:eastAsia="Calibri" w:hAnsi="Calibri" w:cs="Calibri"/>
        <w:sz w:val="22"/>
      </w:rPr>
      <w:fldChar w:fldCharType="end"/>
    </w:r>
    <w:r w:rsidRPr="00AF2A5D">
      <w:rPr>
        <w:rFonts w:ascii="Calibri" w:eastAsia="Calibri" w:hAnsi="Calibri" w:cs="Calibri"/>
        <w:sz w:val="22"/>
      </w:rPr>
      <w:t xml:space="preserve"> </w:t>
    </w:r>
  </w:p>
  <w:p w14:paraId="706FBF1D" w14:textId="77777777" w:rsidR="009B0CAD" w:rsidRPr="00AF2A5D" w:rsidRDefault="009B0CAD">
    <w:pPr>
      <w:spacing w:after="0" w:line="259" w:lineRule="auto"/>
      <w:ind w:left="76" w:firstLine="0"/>
    </w:pPr>
    <w:r w:rsidRPr="00AF2A5D">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96239" w14:textId="77777777" w:rsidR="003A47A3" w:rsidRPr="00AF2A5D" w:rsidRDefault="003A47A3">
      <w:pPr>
        <w:spacing w:after="0" w:line="240" w:lineRule="auto"/>
      </w:pPr>
      <w:r w:rsidRPr="00AF2A5D">
        <w:separator/>
      </w:r>
    </w:p>
  </w:footnote>
  <w:footnote w:type="continuationSeparator" w:id="0">
    <w:p w14:paraId="6626795F" w14:textId="77777777" w:rsidR="003A47A3" w:rsidRPr="00AF2A5D" w:rsidRDefault="003A47A3">
      <w:pPr>
        <w:spacing w:after="0" w:line="240" w:lineRule="auto"/>
      </w:pPr>
      <w:r w:rsidRPr="00AF2A5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72DA" w14:textId="69CDF82D" w:rsidR="009B0CAD" w:rsidRPr="00AF2A5D" w:rsidRDefault="00C732BA" w:rsidP="00FB3728">
    <w:pPr>
      <w:pStyle w:val="En-tte"/>
      <w:tabs>
        <w:tab w:val="clear" w:pos="4536"/>
        <w:tab w:val="clear" w:pos="9072"/>
      </w:tabs>
      <w:ind w:left="0" w:firstLine="0"/>
      <w:rPr>
        <w:rFonts w:ascii="Times New Roman" w:hAnsi="Times New Roman" w:cs="Times New Roman"/>
        <w:bCs/>
        <w:i/>
        <w:iCs/>
        <w:sz w:val="20"/>
        <w:szCs w:val="20"/>
      </w:rPr>
    </w:pPr>
    <w:r w:rsidRPr="00C732BA">
      <w:rPr>
        <w:rFonts w:ascii="Times New Roman" w:hAnsi="Times New Roman" w:cs="Times New Roman"/>
        <w:bCs/>
        <w:sz w:val="18"/>
        <w:szCs w:val="20"/>
      </w:rPr>
      <w:t>Troubles neurocognitifs chez les patients épileptiques à Kinshasa</w:t>
    </w:r>
    <w:r w:rsidR="00186F60">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r>
    <w:r>
      <w:rPr>
        <w:rFonts w:ascii="Times New Roman" w:hAnsi="Times New Roman" w:cs="Times New Roman"/>
        <w:bCs/>
        <w:sz w:val="20"/>
        <w:szCs w:val="20"/>
      </w:rPr>
      <w:tab/>
      <w:t xml:space="preserve">      </w:t>
    </w:r>
    <w:r w:rsidRPr="00C732BA">
      <w:rPr>
        <w:rFonts w:ascii="Times New Roman" w:hAnsi="Times New Roman" w:cs="Times New Roman"/>
        <w:bCs/>
        <w:i/>
        <w:sz w:val="20"/>
        <w:szCs w:val="20"/>
        <w:lang w:val="fr-FR"/>
      </w:rPr>
      <w:t>Hutu Kabamba V</w:t>
    </w:r>
    <w:r w:rsidRPr="00C732BA">
      <w:rPr>
        <w:rFonts w:ascii="Times New Roman" w:hAnsi="Times New Roman" w:cs="Times New Roman"/>
        <w:bCs/>
        <w:i/>
        <w:iCs/>
        <w:sz w:val="20"/>
        <w:szCs w:val="20"/>
      </w:rPr>
      <w:t xml:space="preserve"> </w:t>
    </w:r>
    <w:r w:rsidR="009B0CAD" w:rsidRPr="00AF2A5D">
      <w:rPr>
        <w:rFonts w:ascii="Times New Roman" w:hAnsi="Times New Roman" w:cs="Times New Roman"/>
        <w:bCs/>
        <w:i/>
        <w:iCs/>
        <w:sz w:val="20"/>
        <w:szCs w:val="20"/>
      </w:rPr>
      <w:t>et al</w:t>
    </w:r>
  </w:p>
  <w:p w14:paraId="7664EA50" w14:textId="5ACD5E52" w:rsidR="009B0CAD" w:rsidRPr="00AF2A5D" w:rsidRDefault="009B0CAD" w:rsidP="00DC368A">
    <w:pPr>
      <w:pStyle w:val="En-tte"/>
      <w:tabs>
        <w:tab w:val="clear" w:pos="4536"/>
        <w:tab w:val="clear" w:pos="9072"/>
      </w:tabs>
      <w:spacing w:after="120"/>
      <w:ind w:left="85" w:right="-144" w:hanging="11"/>
      <w:rPr>
        <w:rFonts w:ascii="Times New Roman" w:hAnsi="Times New Roman" w:cs="Times New Roman"/>
        <w:i/>
        <w:iCs/>
        <w:sz w:val="20"/>
        <w:szCs w:val="18"/>
      </w:rPr>
    </w:pPr>
    <w:r w:rsidRPr="00AF2A5D">
      <w:rPr>
        <w:rFonts w:ascii="Times New Roman" w:hAnsi="Times New Roman" w:cs="Times New Roman"/>
        <w:bCs/>
        <w:i/>
        <w:iCs/>
        <w:sz w:val="22"/>
      </w:rPr>
      <w:t>______________________________________________________________________________________</w:t>
    </w:r>
    <w:r w:rsidR="005F6689" w:rsidRPr="00AF2A5D">
      <w:rPr>
        <w:rFonts w:ascii="Times New Roman" w:hAnsi="Times New Roman" w:cs="Times New Roman"/>
        <w:bCs/>
        <w:i/>
        <w:iCs/>
        <w:sz w:val="22"/>
      </w:rPr>
      <w:t>___</w:t>
    </w:r>
    <w:r w:rsidR="000C7F6B" w:rsidRPr="00AF2A5D">
      <w:rPr>
        <w:rFonts w:ascii="Times New Roman" w:hAnsi="Times New Roman" w:cs="Times New Roman"/>
        <w:bCs/>
        <w:i/>
        <w:iCs/>
        <w:sz w:val="22"/>
      </w:rPr>
      <w:t>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13336"/>
    <w:multiLevelType w:val="hybridMultilevel"/>
    <w:tmpl w:val="A63E4C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250AF8"/>
    <w:multiLevelType w:val="hybridMultilevel"/>
    <w:tmpl w:val="1E04D9F6"/>
    <w:lvl w:ilvl="0" w:tplc="AFB8A7C0">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C88633E"/>
    <w:multiLevelType w:val="hybridMultilevel"/>
    <w:tmpl w:val="D11CD46A"/>
    <w:lvl w:ilvl="0" w:tplc="E07A4C7E">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B2119B"/>
    <w:multiLevelType w:val="hybridMultilevel"/>
    <w:tmpl w:val="19E270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3A57DB"/>
    <w:multiLevelType w:val="hybridMultilevel"/>
    <w:tmpl w:val="045C8EF2"/>
    <w:lvl w:ilvl="0" w:tplc="D1E624F4">
      <w:numFmt w:val="bullet"/>
      <w:lvlText w:val="•"/>
      <w:lvlJc w:val="left"/>
      <w:pPr>
        <w:ind w:left="1065" w:hanging="705"/>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943F65"/>
    <w:multiLevelType w:val="hybridMultilevel"/>
    <w:tmpl w:val="FBFA59E8"/>
    <w:lvl w:ilvl="0" w:tplc="FFFFFFFF">
      <w:numFmt w:val="bullet"/>
      <w:lvlText w:val="-"/>
      <w:lvlJc w:val="left"/>
      <w:pPr>
        <w:ind w:left="720" w:hanging="360"/>
      </w:pPr>
      <w:rPr>
        <w:rFonts w:ascii="Times New Roman" w:eastAsia="DengXian" w:hAnsi="Times New Roman" w:cs="Times New Roman" w:hint="default"/>
      </w:rPr>
    </w:lvl>
    <w:lvl w:ilvl="1" w:tplc="F4725A24">
      <w:numFmt w:val="bullet"/>
      <w:lvlText w:val="-"/>
      <w:lvlJc w:val="left"/>
      <w:pPr>
        <w:ind w:left="1440" w:hanging="360"/>
      </w:pPr>
      <w:rPr>
        <w:rFonts w:ascii="Times New Roman" w:eastAsia="DengXi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8B4C90"/>
    <w:multiLevelType w:val="hybridMultilevel"/>
    <w:tmpl w:val="1362FD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AD34803"/>
    <w:multiLevelType w:val="hybridMultilevel"/>
    <w:tmpl w:val="C4A4477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AE153D6"/>
    <w:multiLevelType w:val="hybridMultilevel"/>
    <w:tmpl w:val="F604C2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966F9C"/>
    <w:multiLevelType w:val="hybridMultilevel"/>
    <w:tmpl w:val="F67211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EF1CF6"/>
    <w:multiLevelType w:val="hybridMultilevel"/>
    <w:tmpl w:val="CEF88DFE"/>
    <w:lvl w:ilvl="0" w:tplc="E8886700">
      <w:start w:val="3"/>
      <w:numFmt w:val="bullet"/>
      <w:lvlText w:val="-"/>
      <w:lvlJc w:val="left"/>
      <w:pPr>
        <w:ind w:left="1065" w:hanging="705"/>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8A2654"/>
    <w:multiLevelType w:val="hybridMultilevel"/>
    <w:tmpl w:val="5FB04B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4354541"/>
    <w:multiLevelType w:val="hybridMultilevel"/>
    <w:tmpl w:val="240E9B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FC1F7C"/>
    <w:multiLevelType w:val="multilevel"/>
    <w:tmpl w:val="088E73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05498C"/>
    <w:multiLevelType w:val="hybridMultilevel"/>
    <w:tmpl w:val="65F62C44"/>
    <w:lvl w:ilvl="0" w:tplc="FD6E26D0">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7812C6"/>
    <w:multiLevelType w:val="hybridMultilevel"/>
    <w:tmpl w:val="ECF030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AA41E5B"/>
    <w:multiLevelType w:val="hybridMultilevel"/>
    <w:tmpl w:val="9C84EA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CF625A9"/>
    <w:multiLevelType w:val="hybridMultilevel"/>
    <w:tmpl w:val="0B6A3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692BA1"/>
    <w:multiLevelType w:val="hybridMultilevel"/>
    <w:tmpl w:val="D3AAA8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6A4B26"/>
    <w:multiLevelType w:val="hybridMultilevel"/>
    <w:tmpl w:val="6BFE467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7DF2198"/>
    <w:multiLevelType w:val="hybridMultilevel"/>
    <w:tmpl w:val="F9FE33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EBA397D"/>
    <w:multiLevelType w:val="hybridMultilevel"/>
    <w:tmpl w:val="ED6AADE2"/>
    <w:lvl w:ilvl="0" w:tplc="9102954C">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0B46D86"/>
    <w:multiLevelType w:val="hybridMultilevel"/>
    <w:tmpl w:val="0F6AB4EA"/>
    <w:lvl w:ilvl="0" w:tplc="2C90E24A">
      <w:start w:val="1"/>
      <w:numFmt w:val="decimal"/>
      <w:pStyle w:val="Titre1"/>
      <w:lvlText w:val="%1."/>
      <w:lvlJc w:val="left"/>
      <w:pPr>
        <w:ind w:left="0"/>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1" w:tplc="F64ECD8E">
      <w:start w:val="1"/>
      <w:numFmt w:val="lowerLetter"/>
      <w:lvlText w:val="%2"/>
      <w:lvlJc w:val="left"/>
      <w:pPr>
        <w:ind w:left="14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2" w:tplc="6B3C3CE8">
      <w:start w:val="1"/>
      <w:numFmt w:val="lowerRoman"/>
      <w:lvlText w:val="%3"/>
      <w:lvlJc w:val="left"/>
      <w:pPr>
        <w:ind w:left="21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3" w:tplc="DB12CBB0">
      <w:start w:val="1"/>
      <w:numFmt w:val="decimal"/>
      <w:lvlText w:val="%4"/>
      <w:lvlJc w:val="left"/>
      <w:pPr>
        <w:ind w:left="29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4" w:tplc="A48E59E8">
      <w:start w:val="1"/>
      <w:numFmt w:val="lowerLetter"/>
      <w:lvlText w:val="%5"/>
      <w:lvlJc w:val="left"/>
      <w:pPr>
        <w:ind w:left="362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5" w:tplc="B3B6ED18">
      <w:start w:val="1"/>
      <w:numFmt w:val="lowerRoman"/>
      <w:lvlText w:val="%6"/>
      <w:lvlJc w:val="left"/>
      <w:pPr>
        <w:ind w:left="434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6" w:tplc="47A85F7E">
      <w:start w:val="1"/>
      <w:numFmt w:val="decimal"/>
      <w:lvlText w:val="%7"/>
      <w:lvlJc w:val="left"/>
      <w:pPr>
        <w:ind w:left="506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7" w:tplc="D1F89C98">
      <w:start w:val="1"/>
      <w:numFmt w:val="lowerLetter"/>
      <w:lvlText w:val="%8"/>
      <w:lvlJc w:val="left"/>
      <w:pPr>
        <w:ind w:left="578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lvl w:ilvl="8" w:tplc="07E40E12">
      <w:start w:val="1"/>
      <w:numFmt w:val="lowerRoman"/>
      <w:lvlText w:val="%9"/>
      <w:lvlJc w:val="left"/>
      <w:pPr>
        <w:ind w:left="6506"/>
      </w:pPr>
      <w:rPr>
        <w:rFonts w:ascii="Cambria" w:eastAsia="Cambria" w:hAnsi="Cambria" w:cs="Cambria"/>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3044145"/>
    <w:multiLevelType w:val="hybridMultilevel"/>
    <w:tmpl w:val="F3B4FA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3974B22"/>
    <w:multiLevelType w:val="hybridMultilevel"/>
    <w:tmpl w:val="3D043B0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7264ED5"/>
    <w:multiLevelType w:val="hybridMultilevel"/>
    <w:tmpl w:val="A88224DC"/>
    <w:lvl w:ilvl="0" w:tplc="8ECE0F8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013F42"/>
    <w:multiLevelType w:val="hybridMultilevel"/>
    <w:tmpl w:val="B8BC91CC"/>
    <w:lvl w:ilvl="0" w:tplc="ECE25D10">
      <w:start w:val="1"/>
      <w:numFmt w:val="decimal"/>
      <w:lvlText w:val="%1."/>
      <w:lvlJc w:val="left"/>
      <w:pPr>
        <w:ind w:left="360" w:hanging="360"/>
      </w:pPr>
      <w:rPr>
        <w:rFonts w:asciiTheme="majorBidi" w:eastAsiaTheme="minorHAnsi" w:hAnsiTheme="majorBidi" w:cstheme="majorBidi"/>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4AD92DBD"/>
    <w:multiLevelType w:val="hybridMultilevel"/>
    <w:tmpl w:val="F0F460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D7F3850"/>
    <w:multiLevelType w:val="hybridMultilevel"/>
    <w:tmpl w:val="27F41E78"/>
    <w:lvl w:ilvl="0" w:tplc="F4725A24">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D946527"/>
    <w:multiLevelType w:val="hybridMultilevel"/>
    <w:tmpl w:val="A4D88E52"/>
    <w:lvl w:ilvl="0" w:tplc="76227A1A">
      <w:numFmt w:val="bullet"/>
      <w:lvlText w:val="•"/>
      <w:lvlJc w:val="left"/>
      <w:pPr>
        <w:ind w:left="1065" w:hanging="705"/>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F0D64EB"/>
    <w:multiLevelType w:val="hybridMultilevel"/>
    <w:tmpl w:val="B32C0C72"/>
    <w:lvl w:ilvl="0" w:tplc="B7548A8C">
      <w:numFmt w:val="bullet"/>
      <w:lvlText w:val="•"/>
      <w:lvlJc w:val="left"/>
      <w:pPr>
        <w:ind w:left="1065" w:hanging="705"/>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0A05110"/>
    <w:multiLevelType w:val="hybridMultilevel"/>
    <w:tmpl w:val="E9D65516"/>
    <w:lvl w:ilvl="0" w:tplc="C0B4659E">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1C83937"/>
    <w:multiLevelType w:val="hybridMultilevel"/>
    <w:tmpl w:val="D86E72CC"/>
    <w:lvl w:ilvl="0" w:tplc="420E6186">
      <w:numFmt w:val="bullet"/>
      <w:lvlText w:val="•"/>
      <w:lvlJc w:val="left"/>
      <w:pPr>
        <w:ind w:left="1065" w:hanging="705"/>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4E47A48"/>
    <w:multiLevelType w:val="hybridMultilevel"/>
    <w:tmpl w:val="E4B45B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5903B7B"/>
    <w:multiLevelType w:val="hybridMultilevel"/>
    <w:tmpl w:val="2DE0445A"/>
    <w:lvl w:ilvl="0" w:tplc="F4725A24">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65C614A"/>
    <w:multiLevelType w:val="hybridMultilevel"/>
    <w:tmpl w:val="35CA0B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8A340E0"/>
    <w:multiLevelType w:val="hybridMultilevel"/>
    <w:tmpl w:val="02C6BF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13225"/>
    <w:multiLevelType w:val="hybridMultilevel"/>
    <w:tmpl w:val="44BEA11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9E439B2"/>
    <w:multiLevelType w:val="hybridMultilevel"/>
    <w:tmpl w:val="2A0ECC04"/>
    <w:lvl w:ilvl="0" w:tplc="F168A654">
      <w:numFmt w:val="bullet"/>
      <w:lvlText w:val="-"/>
      <w:lvlJc w:val="left"/>
      <w:pPr>
        <w:ind w:left="720" w:hanging="360"/>
      </w:pPr>
      <w:rPr>
        <w:rFonts w:ascii="Calibri" w:eastAsiaTheme="minorHAnsi" w:hAnsi="Calibri" w:cstheme="minorBid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BA5166D"/>
    <w:multiLevelType w:val="hybridMultilevel"/>
    <w:tmpl w:val="FE1058D6"/>
    <w:lvl w:ilvl="0" w:tplc="F4725A24">
      <w:numFmt w:val="bullet"/>
      <w:lvlText w:val="-"/>
      <w:lvlJc w:val="left"/>
      <w:pPr>
        <w:ind w:left="720" w:hanging="360"/>
      </w:pPr>
      <w:rPr>
        <w:rFonts w:ascii="Times New Roman" w:eastAsia="DengXi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BA75FA1"/>
    <w:multiLevelType w:val="hybridMultilevel"/>
    <w:tmpl w:val="00B8F3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BEF2799"/>
    <w:multiLevelType w:val="hybridMultilevel"/>
    <w:tmpl w:val="B5CE2752"/>
    <w:lvl w:ilvl="0" w:tplc="040C0001">
      <w:start w:val="1"/>
      <w:numFmt w:val="bullet"/>
      <w:lvlText w:val=""/>
      <w:lvlJc w:val="left"/>
      <w:pPr>
        <w:ind w:left="720" w:hanging="360"/>
      </w:pPr>
      <w:rPr>
        <w:rFonts w:ascii="Symbol" w:hAnsi="Symbol" w:hint="default"/>
      </w:rPr>
    </w:lvl>
    <w:lvl w:ilvl="1" w:tplc="F4725A24">
      <w:numFmt w:val="bullet"/>
      <w:lvlText w:val="-"/>
      <w:lvlJc w:val="left"/>
      <w:pPr>
        <w:ind w:left="1785" w:hanging="705"/>
      </w:pPr>
      <w:rPr>
        <w:rFonts w:ascii="Times New Roman" w:eastAsia="DengXi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CE623A0"/>
    <w:multiLevelType w:val="hybridMultilevel"/>
    <w:tmpl w:val="EFF8BA6A"/>
    <w:lvl w:ilvl="0" w:tplc="FFFFFFFF">
      <w:numFmt w:val="bullet"/>
      <w:lvlText w:val="-"/>
      <w:lvlJc w:val="left"/>
      <w:pPr>
        <w:ind w:left="720" w:hanging="360"/>
      </w:pPr>
      <w:rPr>
        <w:rFonts w:ascii="Times New Roman" w:eastAsiaTheme="minorHAnsi" w:hAnsi="Times New Roman" w:cs="Times New Roman" w:hint="default"/>
        <w:b/>
      </w:rPr>
    </w:lvl>
    <w:lvl w:ilvl="1" w:tplc="F4725A24">
      <w:numFmt w:val="bullet"/>
      <w:lvlText w:val="-"/>
      <w:lvlJc w:val="left"/>
      <w:pPr>
        <w:ind w:left="1440" w:hanging="360"/>
      </w:pPr>
      <w:rPr>
        <w:rFonts w:ascii="Times New Roman" w:eastAsia="DengXi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6D264E6"/>
    <w:multiLevelType w:val="hybridMultilevel"/>
    <w:tmpl w:val="35881F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68721BB2"/>
    <w:multiLevelType w:val="hybridMultilevel"/>
    <w:tmpl w:val="4C9215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8C50C7D"/>
    <w:multiLevelType w:val="hybridMultilevel"/>
    <w:tmpl w:val="B9C42A88"/>
    <w:lvl w:ilvl="0" w:tplc="CAE8DBD2">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6D9A7DF9"/>
    <w:multiLevelType w:val="hybridMultilevel"/>
    <w:tmpl w:val="FE0A6B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D9B0F9C"/>
    <w:multiLevelType w:val="hybridMultilevel"/>
    <w:tmpl w:val="D5466666"/>
    <w:lvl w:ilvl="0" w:tplc="C54EBE1C">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6DCF7988"/>
    <w:multiLevelType w:val="hybridMultilevel"/>
    <w:tmpl w:val="D4020B06"/>
    <w:lvl w:ilvl="0" w:tplc="4D3A0096">
      <w:start w:val="1"/>
      <w:numFmt w:val="decimal"/>
      <w:lvlText w:val="%1."/>
      <w:lvlJc w:val="left"/>
      <w:pPr>
        <w:ind w:left="720" w:hanging="360"/>
      </w:pPr>
      <w:rPr>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6EE9329E"/>
    <w:multiLevelType w:val="hybridMultilevel"/>
    <w:tmpl w:val="91F4B96E"/>
    <w:lvl w:ilvl="0" w:tplc="1F08ED40">
      <w:start w:val="1"/>
      <w:numFmt w:val="decimal"/>
      <w:lvlText w:val="%1."/>
      <w:lvlJc w:val="left"/>
      <w:pPr>
        <w:ind w:left="720" w:hanging="360"/>
      </w:pPr>
      <w:rPr>
        <w:lang w:val="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EF17021"/>
    <w:multiLevelType w:val="hybridMultilevel"/>
    <w:tmpl w:val="C0F638E0"/>
    <w:lvl w:ilvl="0" w:tplc="3526653E">
      <w:numFmt w:val="bullet"/>
      <w:lvlText w:val="-"/>
      <w:lvlJc w:val="left"/>
      <w:pPr>
        <w:ind w:left="720" w:hanging="360"/>
      </w:pPr>
      <w:rPr>
        <w:rFonts w:ascii="Times New Roman" w:eastAsiaTheme="minorHAnsi" w:hAnsi="Times New Roman"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FCB16EF"/>
    <w:multiLevelType w:val="hybridMultilevel"/>
    <w:tmpl w:val="068EF212"/>
    <w:lvl w:ilvl="0" w:tplc="040C000F">
      <w:start w:val="1"/>
      <w:numFmt w:val="decimal"/>
      <w:lvlText w:val="%1."/>
      <w:lvlJc w:val="left"/>
      <w:pPr>
        <w:ind w:left="736" w:hanging="360"/>
      </w:pPr>
    </w:lvl>
    <w:lvl w:ilvl="1" w:tplc="040C0019" w:tentative="1">
      <w:start w:val="1"/>
      <w:numFmt w:val="lowerLetter"/>
      <w:lvlText w:val="%2."/>
      <w:lvlJc w:val="left"/>
      <w:pPr>
        <w:ind w:left="1456" w:hanging="360"/>
      </w:pPr>
    </w:lvl>
    <w:lvl w:ilvl="2" w:tplc="040C001B" w:tentative="1">
      <w:start w:val="1"/>
      <w:numFmt w:val="lowerRoman"/>
      <w:lvlText w:val="%3."/>
      <w:lvlJc w:val="right"/>
      <w:pPr>
        <w:ind w:left="2176" w:hanging="180"/>
      </w:pPr>
    </w:lvl>
    <w:lvl w:ilvl="3" w:tplc="040C000F" w:tentative="1">
      <w:start w:val="1"/>
      <w:numFmt w:val="decimal"/>
      <w:lvlText w:val="%4."/>
      <w:lvlJc w:val="left"/>
      <w:pPr>
        <w:ind w:left="2896" w:hanging="360"/>
      </w:pPr>
    </w:lvl>
    <w:lvl w:ilvl="4" w:tplc="040C0019" w:tentative="1">
      <w:start w:val="1"/>
      <w:numFmt w:val="lowerLetter"/>
      <w:lvlText w:val="%5."/>
      <w:lvlJc w:val="left"/>
      <w:pPr>
        <w:ind w:left="3616" w:hanging="360"/>
      </w:pPr>
    </w:lvl>
    <w:lvl w:ilvl="5" w:tplc="040C001B" w:tentative="1">
      <w:start w:val="1"/>
      <w:numFmt w:val="lowerRoman"/>
      <w:lvlText w:val="%6."/>
      <w:lvlJc w:val="right"/>
      <w:pPr>
        <w:ind w:left="4336" w:hanging="180"/>
      </w:pPr>
    </w:lvl>
    <w:lvl w:ilvl="6" w:tplc="040C000F" w:tentative="1">
      <w:start w:val="1"/>
      <w:numFmt w:val="decimal"/>
      <w:lvlText w:val="%7."/>
      <w:lvlJc w:val="left"/>
      <w:pPr>
        <w:ind w:left="5056" w:hanging="360"/>
      </w:pPr>
    </w:lvl>
    <w:lvl w:ilvl="7" w:tplc="040C0019" w:tentative="1">
      <w:start w:val="1"/>
      <w:numFmt w:val="lowerLetter"/>
      <w:lvlText w:val="%8."/>
      <w:lvlJc w:val="left"/>
      <w:pPr>
        <w:ind w:left="5776" w:hanging="360"/>
      </w:pPr>
    </w:lvl>
    <w:lvl w:ilvl="8" w:tplc="040C001B" w:tentative="1">
      <w:start w:val="1"/>
      <w:numFmt w:val="lowerRoman"/>
      <w:lvlText w:val="%9."/>
      <w:lvlJc w:val="right"/>
      <w:pPr>
        <w:ind w:left="6496" w:hanging="180"/>
      </w:pPr>
    </w:lvl>
  </w:abstractNum>
  <w:abstractNum w:abstractNumId="52" w15:restartNumberingAfterBreak="0">
    <w:nsid w:val="7083163E"/>
    <w:multiLevelType w:val="hybridMultilevel"/>
    <w:tmpl w:val="B5E4724E"/>
    <w:lvl w:ilvl="0" w:tplc="2C0C000F">
      <w:start w:val="1"/>
      <w:numFmt w:val="decimal"/>
      <w:lvlText w:val="%1."/>
      <w:lvlJc w:val="left"/>
      <w:pPr>
        <w:ind w:left="720" w:hanging="360"/>
      </w:pPr>
      <w:rPr>
        <w:rFonts w:hint="default"/>
      </w:rPr>
    </w:lvl>
    <w:lvl w:ilvl="1" w:tplc="2C0C0019" w:tentative="1">
      <w:start w:val="1"/>
      <w:numFmt w:val="lowerLetter"/>
      <w:lvlText w:val="%2."/>
      <w:lvlJc w:val="left"/>
      <w:pPr>
        <w:ind w:left="1440" w:hanging="360"/>
      </w:pPr>
    </w:lvl>
    <w:lvl w:ilvl="2" w:tplc="2C0C001B" w:tentative="1">
      <w:start w:val="1"/>
      <w:numFmt w:val="lowerRoman"/>
      <w:lvlText w:val="%3."/>
      <w:lvlJc w:val="right"/>
      <w:pPr>
        <w:ind w:left="2160" w:hanging="180"/>
      </w:pPr>
    </w:lvl>
    <w:lvl w:ilvl="3" w:tplc="2C0C000F" w:tentative="1">
      <w:start w:val="1"/>
      <w:numFmt w:val="decimal"/>
      <w:lvlText w:val="%4."/>
      <w:lvlJc w:val="left"/>
      <w:pPr>
        <w:ind w:left="2880" w:hanging="360"/>
      </w:pPr>
    </w:lvl>
    <w:lvl w:ilvl="4" w:tplc="2C0C0019" w:tentative="1">
      <w:start w:val="1"/>
      <w:numFmt w:val="lowerLetter"/>
      <w:lvlText w:val="%5."/>
      <w:lvlJc w:val="left"/>
      <w:pPr>
        <w:ind w:left="3600" w:hanging="360"/>
      </w:pPr>
    </w:lvl>
    <w:lvl w:ilvl="5" w:tplc="2C0C001B" w:tentative="1">
      <w:start w:val="1"/>
      <w:numFmt w:val="lowerRoman"/>
      <w:lvlText w:val="%6."/>
      <w:lvlJc w:val="right"/>
      <w:pPr>
        <w:ind w:left="4320" w:hanging="180"/>
      </w:pPr>
    </w:lvl>
    <w:lvl w:ilvl="6" w:tplc="2C0C000F" w:tentative="1">
      <w:start w:val="1"/>
      <w:numFmt w:val="decimal"/>
      <w:lvlText w:val="%7."/>
      <w:lvlJc w:val="left"/>
      <w:pPr>
        <w:ind w:left="5040" w:hanging="360"/>
      </w:pPr>
    </w:lvl>
    <w:lvl w:ilvl="7" w:tplc="2C0C0019" w:tentative="1">
      <w:start w:val="1"/>
      <w:numFmt w:val="lowerLetter"/>
      <w:lvlText w:val="%8."/>
      <w:lvlJc w:val="left"/>
      <w:pPr>
        <w:ind w:left="5760" w:hanging="360"/>
      </w:pPr>
    </w:lvl>
    <w:lvl w:ilvl="8" w:tplc="2C0C001B" w:tentative="1">
      <w:start w:val="1"/>
      <w:numFmt w:val="lowerRoman"/>
      <w:lvlText w:val="%9."/>
      <w:lvlJc w:val="right"/>
      <w:pPr>
        <w:ind w:left="6480" w:hanging="180"/>
      </w:pPr>
    </w:lvl>
  </w:abstractNum>
  <w:abstractNum w:abstractNumId="53" w15:restartNumberingAfterBreak="0">
    <w:nsid w:val="70F70A65"/>
    <w:multiLevelType w:val="hybridMultilevel"/>
    <w:tmpl w:val="1B60B7A2"/>
    <w:lvl w:ilvl="0" w:tplc="C8607EE8">
      <w:start w:val="3"/>
      <w:numFmt w:val="bullet"/>
      <w:lvlText w:val="•"/>
      <w:lvlJc w:val="left"/>
      <w:pPr>
        <w:ind w:left="1065" w:hanging="705"/>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413402A"/>
    <w:multiLevelType w:val="hybridMultilevel"/>
    <w:tmpl w:val="BE6CB4C8"/>
    <w:lvl w:ilvl="0" w:tplc="D8D04866">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746F0FA7"/>
    <w:multiLevelType w:val="hybridMultilevel"/>
    <w:tmpl w:val="7B62E3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75A33E8F"/>
    <w:multiLevelType w:val="hybridMultilevel"/>
    <w:tmpl w:val="47341D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75BB6AC9"/>
    <w:multiLevelType w:val="hybridMultilevel"/>
    <w:tmpl w:val="C45458D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768B791F"/>
    <w:multiLevelType w:val="hybridMultilevel"/>
    <w:tmpl w:val="F2D68406"/>
    <w:lvl w:ilvl="0" w:tplc="F4725A24">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6A90682"/>
    <w:multiLevelType w:val="hybridMultilevel"/>
    <w:tmpl w:val="904C36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78C436DB"/>
    <w:multiLevelType w:val="multilevel"/>
    <w:tmpl w:val="BF0602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8CE4A9A"/>
    <w:multiLevelType w:val="hybridMultilevel"/>
    <w:tmpl w:val="609485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7CC15DCE"/>
    <w:multiLevelType w:val="hybridMultilevel"/>
    <w:tmpl w:val="D1ECD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EC6430F"/>
    <w:multiLevelType w:val="hybridMultilevel"/>
    <w:tmpl w:val="D16CAE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21065235">
    <w:abstractNumId w:val="22"/>
  </w:num>
  <w:num w:numId="2" w16cid:durableId="414471296">
    <w:abstractNumId w:val="51"/>
  </w:num>
  <w:num w:numId="3" w16cid:durableId="1591235411">
    <w:abstractNumId w:val="40"/>
  </w:num>
  <w:num w:numId="4" w16cid:durableId="1696617246">
    <w:abstractNumId w:val="13"/>
  </w:num>
  <w:num w:numId="5" w16cid:durableId="631865061">
    <w:abstractNumId w:val="60"/>
  </w:num>
  <w:num w:numId="6" w16cid:durableId="1098788512">
    <w:abstractNumId w:val="55"/>
  </w:num>
  <w:num w:numId="7" w16cid:durableId="2125035609">
    <w:abstractNumId w:val="25"/>
  </w:num>
  <w:num w:numId="8" w16cid:durableId="900100591">
    <w:abstractNumId w:val="49"/>
  </w:num>
  <w:num w:numId="9" w16cid:durableId="308940741">
    <w:abstractNumId w:val="19"/>
  </w:num>
  <w:num w:numId="10" w16cid:durableId="2139256416">
    <w:abstractNumId w:val="37"/>
  </w:num>
  <w:num w:numId="11" w16cid:durableId="27068486">
    <w:abstractNumId w:val="11"/>
  </w:num>
  <w:num w:numId="12" w16cid:durableId="2016805316">
    <w:abstractNumId w:val="31"/>
  </w:num>
  <w:num w:numId="13" w16cid:durableId="535240469">
    <w:abstractNumId w:val="3"/>
  </w:num>
  <w:num w:numId="14" w16cid:durableId="756442978">
    <w:abstractNumId w:val="48"/>
  </w:num>
  <w:num w:numId="15" w16cid:durableId="1905414129">
    <w:abstractNumId w:val="12"/>
  </w:num>
  <w:num w:numId="16" w16cid:durableId="215091011">
    <w:abstractNumId w:val="29"/>
  </w:num>
  <w:num w:numId="17" w16cid:durableId="1579553631">
    <w:abstractNumId w:val="44"/>
  </w:num>
  <w:num w:numId="18" w16cid:durableId="445126416">
    <w:abstractNumId w:val="4"/>
  </w:num>
  <w:num w:numId="19" w16cid:durableId="1047531535">
    <w:abstractNumId w:val="27"/>
  </w:num>
  <w:num w:numId="20" w16cid:durableId="701899112">
    <w:abstractNumId w:val="30"/>
  </w:num>
  <w:num w:numId="21" w16cid:durableId="643774570">
    <w:abstractNumId w:val="62"/>
  </w:num>
  <w:num w:numId="22" w16cid:durableId="932129335">
    <w:abstractNumId w:val="23"/>
  </w:num>
  <w:num w:numId="23" w16cid:durableId="277880846">
    <w:abstractNumId w:val="46"/>
  </w:num>
  <w:num w:numId="24" w16cid:durableId="699086838">
    <w:abstractNumId w:val="0"/>
  </w:num>
  <w:num w:numId="25" w16cid:durableId="1364672337">
    <w:abstractNumId w:val="21"/>
  </w:num>
  <w:num w:numId="26" w16cid:durableId="2116901593">
    <w:abstractNumId w:val="52"/>
  </w:num>
  <w:num w:numId="27" w16cid:durableId="631330153">
    <w:abstractNumId w:val="41"/>
  </w:num>
  <w:num w:numId="28" w16cid:durableId="986787575">
    <w:abstractNumId w:val="50"/>
  </w:num>
  <w:num w:numId="29" w16cid:durableId="2006787584">
    <w:abstractNumId w:val="42"/>
  </w:num>
  <w:num w:numId="30" w16cid:durableId="1033262621">
    <w:abstractNumId w:val="39"/>
  </w:num>
  <w:num w:numId="31" w16cid:durableId="1410738781">
    <w:abstractNumId w:val="5"/>
  </w:num>
  <w:num w:numId="32" w16cid:durableId="1961453739">
    <w:abstractNumId w:val="16"/>
  </w:num>
  <w:num w:numId="33" w16cid:durableId="1517691917">
    <w:abstractNumId w:val="18"/>
  </w:num>
  <w:num w:numId="34" w16cid:durableId="1146509980">
    <w:abstractNumId w:val="36"/>
  </w:num>
  <w:num w:numId="35" w16cid:durableId="1227377394">
    <w:abstractNumId w:val="58"/>
  </w:num>
  <w:num w:numId="36" w16cid:durableId="1889220579">
    <w:abstractNumId w:val="17"/>
  </w:num>
  <w:num w:numId="37" w16cid:durableId="883639772">
    <w:abstractNumId w:val="34"/>
  </w:num>
  <w:num w:numId="38" w16cid:durableId="2037928192">
    <w:abstractNumId w:val="32"/>
  </w:num>
  <w:num w:numId="39" w16cid:durableId="945892724">
    <w:abstractNumId w:val="63"/>
  </w:num>
  <w:num w:numId="40" w16cid:durableId="184371366">
    <w:abstractNumId w:val="28"/>
  </w:num>
  <w:num w:numId="41" w16cid:durableId="367996067">
    <w:abstractNumId w:val="20"/>
  </w:num>
  <w:num w:numId="42" w16cid:durableId="402336589">
    <w:abstractNumId w:val="1"/>
  </w:num>
  <w:num w:numId="43" w16cid:durableId="919678005">
    <w:abstractNumId w:val="6"/>
  </w:num>
  <w:num w:numId="44" w16cid:durableId="1772165285">
    <w:abstractNumId w:val="8"/>
  </w:num>
  <w:num w:numId="45" w16cid:durableId="1566600201">
    <w:abstractNumId w:val="33"/>
  </w:num>
  <w:num w:numId="46" w16cid:durableId="1067461924">
    <w:abstractNumId w:val="59"/>
  </w:num>
  <w:num w:numId="47" w16cid:durableId="257057429">
    <w:abstractNumId w:val="26"/>
  </w:num>
  <w:num w:numId="48" w16cid:durableId="746919113">
    <w:abstractNumId w:val="9"/>
  </w:num>
  <w:num w:numId="49" w16cid:durableId="1009673715">
    <w:abstractNumId w:val="2"/>
  </w:num>
  <w:num w:numId="50" w16cid:durableId="1841505966">
    <w:abstractNumId w:val="7"/>
  </w:num>
  <w:num w:numId="51" w16cid:durableId="1733119056">
    <w:abstractNumId w:val="54"/>
  </w:num>
  <w:num w:numId="52" w16cid:durableId="949507190">
    <w:abstractNumId w:val="57"/>
  </w:num>
  <w:num w:numId="53" w16cid:durableId="1909879506">
    <w:abstractNumId w:val="14"/>
  </w:num>
  <w:num w:numId="54" w16cid:durableId="2120221236">
    <w:abstractNumId w:val="24"/>
  </w:num>
  <w:num w:numId="55" w16cid:durableId="2034770634">
    <w:abstractNumId w:val="35"/>
  </w:num>
  <w:num w:numId="56" w16cid:durableId="1920672999">
    <w:abstractNumId w:val="38"/>
  </w:num>
  <w:num w:numId="57" w16cid:durableId="1402631388">
    <w:abstractNumId w:val="10"/>
  </w:num>
  <w:num w:numId="58" w16cid:durableId="531113153">
    <w:abstractNumId w:val="15"/>
  </w:num>
  <w:num w:numId="59" w16cid:durableId="615720897">
    <w:abstractNumId w:val="53"/>
  </w:num>
  <w:num w:numId="60" w16cid:durableId="1004867614">
    <w:abstractNumId w:val="56"/>
  </w:num>
  <w:num w:numId="61" w16cid:durableId="696388373">
    <w:abstractNumId w:val="45"/>
  </w:num>
  <w:num w:numId="62" w16cid:durableId="514224211">
    <w:abstractNumId w:val="43"/>
  </w:num>
  <w:num w:numId="63" w16cid:durableId="1352149687">
    <w:abstractNumId w:val="61"/>
  </w:num>
  <w:num w:numId="64" w16cid:durableId="1953392278">
    <w:abstractNumId w:val="4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242"/>
    <w:rsid w:val="00002639"/>
    <w:rsid w:val="000065BE"/>
    <w:rsid w:val="000066CA"/>
    <w:rsid w:val="00010ED7"/>
    <w:rsid w:val="0001236B"/>
    <w:rsid w:val="00013B7E"/>
    <w:rsid w:val="00016430"/>
    <w:rsid w:val="00020A27"/>
    <w:rsid w:val="00024E31"/>
    <w:rsid w:val="00025914"/>
    <w:rsid w:val="00032860"/>
    <w:rsid w:val="00032DAA"/>
    <w:rsid w:val="000354A1"/>
    <w:rsid w:val="00037D55"/>
    <w:rsid w:val="00037F53"/>
    <w:rsid w:val="0004006C"/>
    <w:rsid w:val="000404B6"/>
    <w:rsid w:val="000456E5"/>
    <w:rsid w:val="00045D6E"/>
    <w:rsid w:val="00045E16"/>
    <w:rsid w:val="00046030"/>
    <w:rsid w:val="0004680F"/>
    <w:rsid w:val="00056C98"/>
    <w:rsid w:val="0006025F"/>
    <w:rsid w:val="000733E2"/>
    <w:rsid w:val="000741C9"/>
    <w:rsid w:val="000756E0"/>
    <w:rsid w:val="00076711"/>
    <w:rsid w:val="000768D8"/>
    <w:rsid w:val="00076FF8"/>
    <w:rsid w:val="00087045"/>
    <w:rsid w:val="0008769E"/>
    <w:rsid w:val="000954B6"/>
    <w:rsid w:val="00096232"/>
    <w:rsid w:val="00096A6C"/>
    <w:rsid w:val="00097E19"/>
    <w:rsid w:val="000A02AB"/>
    <w:rsid w:val="000A169E"/>
    <w:rsid w:val="000A3AA8"/>
    <w:rsid w:val="000B6F6E"/>
    <w:rsid w:val="000B6FB8"/>
    <w:rsid w:val="000C11F5"/>
    <w:rsid w:val="000C525B"/>
    <w:rsid w:val="000C6753"/>
    <w:rsid w:val="000C7F6B"/>
    <w:rsid w:val="000D0256"/>
    <w:rsid w:val="000D0774"/>
    <w:rsid w:val="000D3826"/>
    <w:rsid w:val="000D549F"/>
    <w:rsid w:val="000E37FB"/>
    <w:rsid w:val="000F0701"/>
    <w:rsid w:val="000F52FB"/>
    <w:rsid w:val="000F5CE5"/>
    <w:rsid w:val="00113162"/>
    <w:rsid w:val="0011406F"/>
    <w:rsid w:val="001142BB"/>
    <w:rsid w:val="00115297"/>
    <w:rsid w:val="0011650C"/>
    <w:rsid w:val="00124854"/>
    <w:rsid w:val="00134613"/>
    <w:rsid w:val="00140C11"/>
    <w:rsid w:val="0014497B"/>
    <w:rsid w:val="00146087"/>
    <w:rsid w:val="00146525"/>
    <w:rsid w:val="001503A7"/>
    <w:rsid w:val="001508C8"/>
    <w:rsid w:val="00151C9C"/>
    <w:rsid w:val="001544C6"/>
    <w:rsid w:val="001646F3"/>
    <w:rsid w:val="00166B29"/>
    <w:rsid w:val="00170DEF"/>
    <w:rsid w:val="00171221"/>
    <w:rsid w:val="00172BFE"/>
    <w:rsid w:val="001733EF"/>
    <w:rsid w:val="00176144"/>
    <w:rsid w:val="001761BA"/>
    <w:rsid w:val="00186F60"/>
    <w:rsid w:val="00191B0D"/>
    <w:rsid w:val="001924B4"/>
    <w:rsid w:val="00193146"/>
    <w:rsid w:val="001A092F"/>
    <w:rsid w:val="001A59DC"/>
    <w:rsid w:val="001B191D"/>
    <w:rsid w:val="001B1EA4"/>
    <w:rsid w:val="001B216E"/>
    <w:rsid w:val="001B26BA"/>
    <w:rsid w:val="001B415F"/>
    <w:rsid w:val="001B4D74"/>
    <w:rsid w:val="001B5095"/>
    <w:rsid w:val="001B67DA"/>
    <w:rsid w:val="001B6B48"/>
    <w:rsid w:val="001C6345"/>
    <w:rsid w:val="001C6525"/>
    <w:rsid w:val="001D2C3B"/>
    <w:rsid w:val="001E2FDE"/>
    <w:rsid w:val="001F4023"/>
    <w:rsid w:val="001F7468"/>
    <w:rsid w:val="00207DB3"/>
    <w:rsid w:val="0021204F"/>
    <w:rsid w:val="00213485"/>
    <w:rsid w:val="002163A5"/>
    <w:rsid w:val="00217CCC"/>
    <w:rsid w:val="0022136E"/>
    <w:rsid w:val="00226942"/>
    <w:rsid w:val="00232516"/>
    <w:rsid w:val="00236E61"/>
    <w:rsid w:val="00237D85"/>
    <w:rsid w:val="002403D3"/>
    <w:rsid w:val="002408C4"/>
    <w:rsid w:val="00244F43"/>
    <w:rsid w:val="0024503F"/>
    <w:rsid w:val="00250937"/>
    <w:rsid w:val="002509A1"/>
    <w:rsid w:val="00251C77"/>
    <w:rsid w:val="0025717A"/>
    <w:rsid w:val="00272545"/>
    <w:rsid w:val="0027357E"/>
    <w:rsid w:val="00275434"/>
    <w:rsid w:val="00277C1D"/>
    <w:rsid w:val="00280660"/>
    <w:rsid w:val="0028226C"/>
    <w:rsid w:val="00283240"/>
    <w:rsid w:val="0028394B"/>
    <w:rsid w:val="00285682"/>
    <w:rsid w:val="0028610C"/>
    <w:rsid w:val="002866E6"/>
    <w:rsid w:val="00287B1E"/>
    <w:rsid w:val="00291D6C"/>
    <w:rsid w:val="00294671"/>
    <w:rsid w:val="0029577F"/>
    <w:rsid w:val="002A1E41"/>
    <w:rsid w:val="002A2EED"/>
    <w:rsid w:val="002A64AB"/>
    <w:rsid w:val="002B3077"/>
    <w:rsid w:val="002B3895"/>
    <w:rsid w:val="002B6AF3"/>
    <w:rsid w:val="002C1CF9"/>
    <w:rsid w:val="002C552B"/>
    <w:rsid w:val="002C59B0"/>
    <w:rsid w:val="002D068D"/>
    <w:rsid w:val="002D2476"/>
    <w:rsid w:val="002D38D4"/>
    <w:rsid w:val="002D4878"/>
    <w:rsid w:val="002E01F5"/>
    <w:rsid w:val="002E48B6"/>
    <w:rsid w:val="002E5AC0"/>
    <w:rsid w:val="002E7699"/>
    <w:rsid w:val="002F0DFB"/>
    <w:rsid w:val="002F1FA2"/>
    <w:rsid w:val="002F2210"/>
    <w:rsid w:val="002F31BE"/>
    <w:rsid w:val="002F6E57"/>
    <w:rsid w:val="00300D8F"/>
    <w:rsid w:val="00303678"/>
    <w:rsid w:val="003102CE"/>
    <w:rsid w:val="00310BD2"/>
    <w:rsid w:val="00315EDE"/>
    <w:rsid w:val="00324D00"/>
    <w:rsid w:val="00325F44"/>
    <w:rsid w:val="00336C97"/>
    <w:rsid w:val="00341592"/>
    <w:rsid w:val="003426FF"/>
    <w:rsid w:val="00346BD7"/>
    <w:rsid w:val="00353A81"/>
    <w:rsid w:val="00355B91"/>
    <w:rsid w:val="0035649C"/>
    <w:rsid w:val="00362155"/>
    <w:rsid w:val="00367760"/>
    <w:rsid w:val="003720C5"/>
    <w:rsid w:val="003729AD"/>
    <w:rsid w:val="00375A62"/>
    <w:rsid w:val="003773EE"/>
    <w:rsid w:val="00386110"/>
    <w:rsid w:val="00392994"/>
    <w:rsid w:val="003929A7"/>
    <w:rsid w:val="00397889"/>
    <w:rsid w:val="003A1FC7"/>
    <w:rsid w:val="003A288F"/>
    <w:rsid w:val="003A47A3"/>
    <w:rsid w:val="003A634E"/>
    <w:rsid w:val="003B60AE"/>
    <w:rsid w:val="003B6717"/>
    <w:rsid w:val="003B68D4"/>
    <w:rsid w:val="003C0535"/>
    <w:rsid w:val="003C2851"/>
    <w:rsid w:val="003C4702"/>
    <w:rsid w:val="003D3300"/>
    <w:rsid w:val="003D3C2D"/>
    <w:rsid w:val="003D5698"/>
    <w:rsid w:val="003E4CBA"/>
    <w:rsid w:val="003E6FF3"/>
    <w:rsid w:val="003E7826"/>
    <w:rsid w:val="003F0F78"/>
    <w:rsid w:val="003F1E24"/>
    <w:rsid w:val="003F3894"/>
    <w:rsid w:val="003F42B5"/>
    <w:rsid w:val="003F68E8"/>
    <w:rsid w:val="003F7D98"/>
    <w:rsid w:val="004028D9"/>
    <w:rsid w:val="00403F9D"/>
    <w:rsid w:val="004051FD"/>
    <w:rsid w:val="00410BA7"/>
    <w:rsid w:val="0041102E"/>
    <w:rsid w:val="004149E1"/>
    <w:rsid w:val="00414DD3"/>
    <w:rsid w:val="004168F7"/>
    <w:rsid w:val="004206B4"/>
    <w:rsid w:val="00421E60"/>
    <w:rsid w:val="004276BC"/>
    <w:rsid w:val="00432682"/>
    <w:rsid w:val="004343E4"/>
    <w:rsid w:val="00442718"/>
    <w:rsid w:val="00443591"/>
    <w:rsid w:val="0044702F"/>
    <w:rsid w:val="00450743"/>
    <w:rsid w:val="004519A4"/>
    <w:rsid w:val="0045255D"/>
    <w:rsid w:val="00453C5A"/>
    <w:rsid w:val="00462386"/>
    <w:rsid w:val="004636FB"/>
    <w:rsid w:val="00470869"/>
    <w:rsid w:val="0047088B"/>
    <w:rsid w:val="00473FF7"/>
    <w:rsid w:val="00484890"/>
    <w:rsid w:val="00485242"/>
    <w:rsid w:val="00485707"/>
    <w:rsid w:val="00487249"/>
    <w:rsid w:val="00490FAD"/>
    <w:rsid w:val="00493650"/>
    <w:rsid w:val="004940D3"/>
    <w:rsid w:val="00496127"/>
    <w:rsid w:val="004A12F7"/>
    <w:rsid w:val="004A33B8"/>
    <w:rsid w:val="004A4559"/>
    <w:rsid w:val="004A7EFD"/>
    <w:rsid w:val="004B0918"/>
    <w:rsid w:val="004B1D19"/>
    <w:rsid w:val="004B39BA"/>
    <w:rsid w:val="004B3BB8"/>
    <w:rsid w:val="004B609D"/>
    <w:rsid w:val="004B77CB"/>
    <w:rsid w:val="004C1DFC"/>
    <w:rsid w:val="004D06EC"/>
    <w:rsid w:val="004D1EC2"/>
    <w:rsid w:val="004D3C41"/>
    <w:rsid w:val="004D5F82"/>
    <w:rsid w:val="004E2026"/>
    <w:rsid w:val="004E3424"/>
    <w:rsid w:val="00503441"/>
    <w:rsid w:val="005041EC"/>
    <w:rsid w:val="005051A8"/>
    <w:rsid w:val="005079E3"/>
    <w:rsid w:val="00513547"/>
    <w:rsid w:val="00514B62"/>
    <w:rsid w:val="00514E62"/>
    <w:rsid w:val="00517C58"/>
    <w:rsid w:val="0052061D"/>
    <w:rsid w:val="00522435"/>
    <w:rsid w:val="0052282C"/>
    <w:rsid w:val="00524508"/>
    <w:rsid w:val="00531165"/>
    <w:rsid w:val="00532DC8"/>
    <w:rsid w:val="0053358E"/>
    <w:rsid w:val="005335A2"/>
    <w:rsid w:val="00535E8F"/>
    <w:rsid w:val="00537B68"/>
    <w:rsid w:val="0054392F"/>
    <w:rsid w:val="00543998"/>
    <w:rsid w:val="0054456A"/>
    <w:rsid w:val="00545C51"/>
    <w:rsid w:val="00551848"/>
    <w:rsid w:val="00551F24"/>
    <w:rsid w:val="00553020"/>
    <w:rsid w:val="00555EF7"/>
    <w:rsid w:val="00560BC0"/>
    <w:rsid w:val="005617B3"/>
    <w:rsid w:val="0056328F"/>
    <w:rsid w:val="0056449F"/>
    <w:rsid w:val="00565B91"/>
    <w:rsid w:val="0057060B"/>
    <w:rsid w:val="005750FB"/>
    <w:rsid w:val="0057623D"/>
    <w:rsid w:val="005770CC"/>
    <w:rsid w:val="00577AB4"/>
    <w:rsid w:val="0058041F"/>
    <w:rsid w:val="00580D9C"/>
    <w:rsid w:val="005841C4"/>
    <w:rsid w:val="00586E5A"/>
    <w:rsid w:val="00596B10"/>
    <w:rsid w:val="005A039A"/>
    <w:rsid w:val="005A16A4"/>
    <w:rsid w:val="005A2C4A"/>
    <w:rsid w:val="005A443A"/>
    <w:rsid w:val="005A6F13"/>
    <w:rsid w:val="005B1A6C"/>
    <w:rsid w:val="005B1CA5"/>
    <w:rsid w:val="005B3A03"/>
    <w:rsid w:val="005C5342"/>
    <w:rsid w:val="005C687B"/>
    <w:rsid w:val="005D5F69"/>
    <w:rsid w:val="005D6D4E"/>
    <w:rsid w:val="005D7546"/>
    <w:rsid w:val="005E065F"/>
    <w:rsid w:val="005E232C"/>
    <w:rsid w:val="005E328D"/>
    <w:rsid w:val="005E6955"/>
    <w:rsid w:val="005E7F92"/>
    <w:rsid w:val="005F0C0A"/>
    <w:rsid w:val="005F40DC"/>
    <w:rsid w:val="005F6689"/>
    <w:rsid w:val="005F7ADF"/>
    <w:rsid w:val="0060486D"/>
    <w:rsid w:val="006055E4"/>
    <w:rsid w:val="00605687"/>
    <w:rsid w:val="00605924"/>
    <w:rsid w:val="00606A97"/>
    <w:rsid w:val="00611174"/>
    <w:rsid w:val="006112B8"/>
    <w:rsid w:val="00611DB1"/>
    <w:rsid w:val="0061448A"/>
    <w:rsid w:val="00616173"/>
    <w:rsid w:val="00622D4D"/>
    <w:rsid w:val="00627C35"/>
    <w:rsid w:val="00632DDC"/>
    <w:rsid w:val="00634804"/>
    <w:rsid w:val="00634897"/>
    <w:rsid w:val="00635F13"/>
    <w:rsid w:val="00641077"/>
    <w:rsid w:val="0064128F"/>
    <w:rsid w:val="00644EDB"/>
    <w:rsid w:val="00647D56"/>
    <w:rsid w:val="006521B7"/>
    <w:rsid w:val="00654EEA"/>
    <w:rsid w:val="00660641"/>
    <w:rsid w:val="00661BB5"/>
    <w:rsid w:val="00665D1F"/>
    <w:rsid w:val="00670F10"/>
    <w:rsid w:val="00674549"/>
    <w:rsid w:val="00674CB5"/>
    <w:rsid w:val="00677F85"/>
    <w:rsid w:val="00682331"/>
    <w:rsid w:val="00682F6B"/>
    <w:rsid w:val="00684155"/>
    <w:rsid w:val="00687C35"/>
    <w:rsid w:val="006907F5"/>
    <w:rsid w:val="006931E9"/>
    <w:rsid w:val="0069493B"/>
    <w:rsid w:val="00695121"/>
    <w:rsid w:val="0069544E"/>
    <w:rsid w:val="00696398"/>
    <w:rsid w:val="006A33FA"/>
    <w:rsid w:val="006A5C0B"/>
    <w:rsid w:val="006B4305"/>
    <w:rsid w:val="006B66C6"/>
    <w:rsid w:val="006C215F"/>
    <w:rsid w:val="006C3820"/>
    <w:rsid w:val="006C4D68"/>
    <w:rsid w:val="006C62B8"/>
    <w:rsid w:val="006D037B"/>
    <w:rsid w:val="006D1226"/>
    <w:rsid w:val="006D178E"/>
    <w:rsid w:val="006D4CF5"/>
    <w:rsid w:val="006D578A"/>
    <w:rsid w:val="006E0BF2"/>
    <w:rsid w:val="006E3F95"/>
    <w:rsid w:val="006E42DB"/>
    <w:rsid w:val="006E539A"/>
    <w:rsid w:val="006E5ED8"/>
    <w:rsid w:val="006E69AE"/>
    <w:rsid w:val="006E6CAC"/>
    <w:rsid w:val="006E7E0F"/>
    <w:rsid w:val="006E7ED4"/>
    <w:rsid w:val="006F35F6"/>
    <w:rsid w:val="006F3883"/>
    <w:rsid w:val="006F48E4"/>
    <w:rsid w:val="006F65B2"/>
    <w:rsid w:val="006F78C2"/>
    <w:rsid w:val="007015E1"/>
    <w:rsid w:val="00701D0A"/>
    <w:rsid w:val="007104E4"/>
    <w:rsid w:val="0071172D"/>
    <w:rsid w:val="00726322"/>
    <w:rsid w:val="007273A5"/>
    <w:rsid w:val="007275F4"/>
    <w:rsid w:val="00727F32"/>
    <w:rsid w:val="00731845"/>
    <w:rsid w:val="00731DCF"/>
    <w:rsid w:val="007346F5"/>
    <w:rsid w:val="00734A6C"/>
    <w:rsid w:val="007351E9"/>
    <w:rsid w:val="00743020"/>
    <w:rsid w:val="007435BC"/>
    <w:rsid w:val="00743923"/>
    <w:rsid w:val="007441ED"/>
    <w:rsid w:val="007460EA"/>
    <w:rsid w:val="007552F7"/>
    <w:rsid w:val="0075618C"/>
    <w:rsid w:val="00761B75"/>
    <w:rsid w:val="00770B30"/>
    <w:rsid w:val="00771405"/>
    <w:rsid w:val="00771DCF"/>
    <w:rsid w:val="007751FB"/>
    <w:rsid w:val="00775224"/>
    <w:rsid w:val="00777663"/>
    <w:rsid w:val="00782908"/>
    <w:rsid w:val="007836D5"/>
    <w:rsid w:val="00783E3B"/>
    <w:rsid w:val="00784ACF"/>
    <w:rsid w:val="007852F6"/>
    <w:rsid w:val="00786C60"/>
    <w:rsid w:val="007926FF"/>
    <w:rsid w:val="007A0D55"/>
    <w:rsid w:val="007B26CD"/>
    <w:rsid w:val="007C1BA3"/>
    <w:rsid w:val="007C2B90"/>
    <w:rsid w:val="007C3EBE"/>
    <w:rsid w:val="007C53D1"/>
    <w:rsid w:val="007C555D"/>
    <w:rsid w:val="007C5972"/>
    <w:rsid w:val="007D0CE9"/>
    <w:rsid w:val="007D31DF"/>
    <w:rsid w:val="007D6893"/>
    <w:rsid w:val="007E1524"/>
    <w:rsid w:val="007E2E50"/>
    <w:rsid w:val="007E4FA7"/>
    <w:rsid w:val="007E6CBF"/>
    <w:rsid w:val="007E7BA8"/>
    <w:rsid w:val="007F01E6"/>
    <w:rsid w:val="007F5023"/>
    <w:rsid w:val="00802A87"/>
    <w:rsid w:val="0080616B"/>
    <w:rsid w:val="00816732"/>
    <w:rsid w:val="00816EBD"/>
    <w:rsid w:val="00817647"/>
    <w:rsid w:val="008202FC"/>
    <w:rsid w:val="00826710"/>
    <w:rsid w:val="00831D63"/>
    <w:rsid w:val="0083417D"/>
    <w:rsid w:val="00836145"/>
    <w:rsid w:val="0084050C"/>
    <w:rsid w:val="008408BB"/>
    <w:rsid w:val="008438B6"/>
    <w:rsid w:val="00844BF1"/>
    <w:rsid w:val="00846F67"/>
    <w:rsid w:val="00847F2B"/>
    <w:rsid w:val="00850841"/>
    <w:rsid w:val="00854E51"/>
    <w:rsid w:val="00857BD7"/>
    <w:rsid w:val="008611E8"/>
    <w:rsid w:val="008616F9"/>
    <w:rsid w:val="0086330D"/>
    <w:rsid w:val="00864AC9"/>
    <w:rsid w:val="00867AB1"/>
    <w:rsid w:val="00871DAA"/>
    <w:rsid w:val="00873640"/>
    <w:rsid w:val="00874926"/>
    <w:rsid w:val="00875E82"/>
    <w:rsid w:val="00876D1E"/>
    <w:rsid w:val="008770DD"/>
    <w:rsid w:val="008825A7"/>
    <w:rsid w:val="0088470B"/>
    <w:rsid w:val="00885A3E"/>
    <w:rsid w:val="00886963"/>
    <w:rsid w:val="00887059"/>
    <w:rsid w:val="00887866"/>
    <w:rsid w:val="00890CAD"/>
    <w:rsid w:val="00893097"/>
    <w:rsid w:val="00895163"/>
    <w:rsid w:val="00896475"/>
    <w:rsid w:val="008A39FC"/>
    <w:rsid w:val="008A568B"/>
    <w:rsid w:val="008B4CAB"/>
    <w:rsid w:val="008C2343"/>
    <w:rsid w:val="008C609F"/>
    <w:rsid w:val="008C67B4"/>
    <w:rsid w:val="008C7C40"/>
    <w:rsid w:val="008D0F69"/>
    <w:rsid w:val="008D26BF"/>
    <w:rsid w:val="008E0506"/>
    <w:rsid w:val="008E4FA0"/>
    <w:rsid w:val="008E62F1"/>
    <w:rsid w:val="008F5FAA"/>
    <w:rsid w:val="008F6461"/>
    <w:rsid w:val="00901CE7"/>
    <w:rsid w:val="00901EC5"/>
    <w:rsid w:val="00907397"/>
    <w:rsid w:val="00907EDD"/>
    <w:rsid w:val="00910D44"/>
    <w:rsid w:val="009115EA"/>
    <w:rsid w:val="00915083"/>
    <w:rsid w:val="00915959"/>
    <w:rsid w:val="009177F9"/>
    <w:rsid w:val="00924076"/>
    <w:rsid w:val="0092500B"/>
    <w:rsid w:val="009256D2"/>
    <w:rsid w:val="00936140"/>
    <w:rsid w:val="009366DE"/>
    <w:rsid w:val="00941797"/>
    <w:rsid w:val="0095757E"/>
    <w:rsid w:val="009642D1"/>
    <w:rsid w:val="009653EF"/>
    <w:rsid w:val="0096690C"/>
    <w:rsid w:val="009675FD"/>
    <w:rsid w:val="0096771F"/>
    <w:rsid w:val="00975434"/>
    <w:rsid w:val="00982266"/>
    <w:rsid w:val="00983F68"/>
    <w:rsid w:val="00987786"/>
    <w:rsid w:val="0099201F"/>
    <w:rsid w:val="00995686"/>
    <w:rsid w:val="00996EF1"/>
    <w:rsid w:val="00997349"/>
    <w:rsid w:val="009A3123"/>
    <w:rsid w:val="009A576D"/>
    <w:rsid w:val="009A79EB"/>
    <w:rsid w:val="009B0C59"/>
    <w:rsid w:val="009B0CAD"/>
    <w:rsid w:val="009B4A47"/>
    <w:rsid w:val="009B60BD"/>
    <w:rsid w:val="009B67B2"/>
    <w:rsid w:val="009B7BC2"/>
    <w:rsid w:val="009C58C9"/>
    <w:rsid w:val="009C5F0D"/>
    <w:rsid w:val="009C6662"/>
    <w:rsid w:val="009D1A97"/>
    <w:rsid w:val="009D1F72"/>
    <w:rsid w:val="009E0308"/>
    <w:rsid w:val="009E13AF"/>
    <w:rsid w:val="009E161F"/>
    <w:rsid w:val="009E2925"/>
    <w:rsid w:val="009E3B6A"/>
    <w:rsid w:val="009F068B"/>
    <w:rsid w:val="009F3051"/>
    <w:rsid w:val="009F325D"/>
    <w:rsid w:val="009F32F5"/>
    <w:rsid w:val="009F363A"/>
    <w:rsid w:val="009F3D82"/>
    <w:rsid w:val="009F7797"/>
    <w:rsid w:val="00A03A26"/>
    <w:rsid w:val="00A07248"/>
    <w:rsid w:val="00A10976"/>
    <w:rsid w:val="00A14E3D"/>
    <w:rsid w:val="00A23228"/>
    <w:rsid w:val="00A251E4"/>
    <w:rsid w:val="00A27232"/>
    <w:rsid w:val="00A355F6"/>
    <w:rsid w:val="00A35BAA"/>
    <w:rsid w:val="00A41E01"/>
    <w:rsid w:val="00A45361"/>
    <w:rsid w:val="00A46977"/>
    <w:rsid w:val="00A50583"/>
    <w:rsid w:val="00A50E19"/>
    <w:rsid w:val="00A51574"/>
    <w:rsid w:val="00A5208D"/>
    <w:rsid w:val="00A522E1"/>
    <w:rsid w:val="00A60FDC"/>
    <w:rsid w:val="00A61C0B"/>
    <w:rsid w:val="00A65C09"/>
    <w:rsid w:val="00A66A4B"/>
    <w:rsid w:val="00A72D43"/>
    <w:rsid w:val="00A73B92"/>
    <w:rsid w:val="00A769C8"/>
    <w:rsid w:val="00A80A32"/>
    <w:rsid w:val="00A821FA"/>
    <w:rsid w:val="00A82E7E"/>
    <w:rsid w:val="00A83F44"/>
    <w:rsid w:val="00A85116"/>
    <w:rsid w:val="00A8566B"/>
    <w:rsid w:val="00A9249B"/>
    <w:rsid w:val="00A928F1"/>
    <w:rsid w:val="00AA13A5"/>
    <w:rsid w:val="00AA1FD8"/>
    <w:rsid w:val="00AA56D9"/>
    <w:rsid w:val="00AA6659"/>
    <w:rsid w:val="00AB0AD9"/>
    <w:rsid w:val="00AB26A0"/>
    <w:rsid w:val="00AB5C74"/>
    <w:rsid w:val="00AB6C53"/>
    <w:rsid w:val="00AB71DF"/>
    <w:rsid w:val="00AB7C07"/>
    <w:rsid w:val="00AC0A5A"/>
    <w:rsid w:val="00AC0D2D"/>
    <w:rsid w:val="00AC2412"/>
    <w:rsid w:val="00AC488C"/>
    <w:rsid w:val="00AC67D9"/>
    <w:rsid w:val="00AD116C"/>
    <w:rsid w:val="00AD341B"/>
    <w:rsid w:val="00AD39DC"/>
    <w:rsid w:val="00AD4316"/>
    <w:rsid w:val="00AE0159"/>
    <w:rsid w:val="00AE307B"/>
    <w:rsid w:val="00AE6782"/>
    <w:rsid w:val="00AF2A5D"/>
    <w:rsid w:val="00AF62DD"/>
    <w:rsid w:val="00AF7574"/>
    <w:rsid w:val="00B00E23"/>
    <w:rsid w:val="00B04758"/>
    <w:rsid w:val="00B102D5"/>
    <w:rsid w:val="00B15180"/>
    <w:rsid w:val="00B169A9"/>
    <w:rsid w:val="00B20A93"/>
    <w:rsid w:val="00B210DF"/>
    <w:rsid w:val="00B2434C"/>
    <w:rsid w:val="00B3012C"/>
    <w:rsid w:val="00B31063"/>
    <w:rsid w:val="00B32BEF"/>
    <w:rsid w:val="00B350D0"/>
    <w:rsid w:val="00B3613F"/>
    <w:rsid w:val="00B36761"/>
    <w:rsid w:val="00B4495F"/>
    <w:rsid w:val="00B45C4D"/>
    <w:rsid w:val="00B4671A"/>
    <w:rsid w:val="00B54F71"/>
    <w:rsid w:val="00B55CC4"/>
    <w:rsid w:val="00B579E5"/>
    <w:rsid w:val="00B623A6"/>
    <w:rsid w:val="00B62A16"/>
    <w:rsid w:val="00B630C9"/>
    <w:rsid w:val="00B667DE"/>
    <w:rsid w:val="00B72262"/>
    <w:rsid w:val="00B72EE2"/>
    <w:rsid w:val="00B74D09"/>
    <w:rsid w:val="00B7625C"/>
    <w:rsid w:val="00B81DC9"/>
    <w:rsid w:val="00B839EA"/>
    <w:rsid w:val="00B86D42"/>
    <w:rsid w:val="00B86D93"/>
    <w:rsid w:val="00B91FD1"/>
    <w:rsid w:val="00B9214A"/>
    <w:rsid w:val="00B9320D"/>
    <w:rsid w:val="00B93C89"/>
    <w:rsid w:val="00B93C9E"/>
    <w:rsid w:val="00B97195"/>
    <w:rsid w:val="00B97A84"/>
    <w:rsid w:val="00B97EDE"/>
    <w:rsid w:val="00BA4288"/>
    <w:rsid w:val="00BA5238"/>
    <w:rsid w:val="00BA5875"/>
    <w:rsid w:val="00BA7741"/>
    <w:rsid w:val="00BB0414"/>
    <w:rsid w:val="00BB12AE"/>
    <w:rsid w:val="00BB3B2B"/>
    <w:rsid w:val="00BB5550"/>
    <w:rsid w:val="00BC1C93"/>
    <w:rsid w:val="00BC33DA"/>
    <w:rsid w:val="00BC5FC0"/>
    <w:rsid w:val="00BC78B8"/>
    <w:rsid w:val="00BC7B07"/>
    <w:rsid w:val="00BE11D4"/>
    <w:rsid w:val="00BE1299"/>
    <w:rsid w:val="00BE1F2C"/>
    <w:rsid w:val="00BE2CEC"/>
    <w:rsid w:val="00BE31B3"/>
    <w:rsid w:val="00BF2067"/>
    <w:rsid w:val="00BF3795"/>
    <w:rsid w:val="00C017AF"/>
    <w:rsid w:val="00C05EC1"/>
    <w:rsid w:val="00C175CD"/>
    <w:rsid w:val="00C1761E"/>
    <w:rsid w:val="00C234B5"/>
    <w:rsid w:val="00C2371B"/>
    <w:rsid w:val="00C2399E"/>
    <w:rsid w:val="00C247C0"/>
    <w:rsid w:val="00C279ED"/>
    <w:rsid w:val="00C33589"/>
    <w:rsid w:val="00C34955"/>
    <w:rsid w:val="00C41E5F"/>
    <w:rsid w:val="00C428BC"/>
    <w:rsid w:val="00C432AE"/>
    <w:rsid w:val="00C52FF1"/>
    <w:rsid w:val="00C615EB"/>
    <w:rsid w:val="00C624F1"/>
    <w:rsid w:val="00C66197"/>
    <w:rsid w:val="00C66D53"/>
    <w:rsid w:val="00C7040E"/>
    <w:rsid w:val="00C732BA"/>
    <w:rsid w:val="00C75DA7"/>
    <w:rsid w:val="00C7655E"/>
    <w:rsid w:val="00C813DF"/>
    <w:rsid w:val="00C83178"/>
    <w:rsid w:val="00C83C63"/>
    <w:rsid w:val="00C867F2"/>
    <w:rsid w:val="00C907D6"/>
    <w:rsid w:val="00C92437"/>
    <w:rsid w:val="00C95BFB"/>
    <w:rsid w:val="00CA022F"/>
    <w:rsid w:val="00CB208A"/>
    <w:rsid w:val="00CB3A71"/>
    <w:rsid w:val="00CB3F77"/>
    <w:rsid w:val="00CC06B0"/>
    <w:rsid w:val="00CC24B2"/>
    <w:rsid w:val="00CC29BF"/>
    <w:rsid w:val="00CC374A"/>
    <w:rsid w:val="00CD5424"/>
    <w:rsid w:val="00CE019D"/>
    <w:rsid w:val="00CE073B"/>
    <w:rsid w:val="00CE184A"/>
    <w:rsid w:val="00CE3CFF"/>
    <w:rsid w:val="00CE4341"/>
    <w:rsid w:val="00CE5035"/>
    <w:rsid w:val="00CF0667"/>
    <w:rsid w:val="00CF1059"/>
    <w:rsid w:val="00CF2B8B"/>
    <w:rsid w:val="00CF416C"/>
    <w:rsid w:val="00CF755A"/>
    <w:rsid w:val="00D0036E"/>
    <w:rsid w:val="00D0377E"/>
    <w:rsid w:val="00D174DC"/>
    <w:rsid w:val="00D219D9"/>
    <w:rsid w:val="00D24B23"/>
    <w:rsid w:val="00D27ABE"/>
    <w:rsid w:val="00D3060F"/>
    <w:rsid w:val="00D30D95"/>
    <w:rsid w:val="00D31561"/>
    <w:rsid w:val="00D32D76"/>
    <w:rsid w:val="00D34E5D"/>
    <w:rsid w:val="00D4200F"/>
    <w:rsid w:val="00D4250E"/>
    <w:rsid w:val="00D42521"/>
    <w:rsid w:val="00D46A41"/>
    <w:rsid w:val="00D506D1"/>
    <w:rsid w:val="00D50B24"/>
    <w:rsid w:val="00D50ECC"/>
    <w:rsid w:val="00D60776"/>
    <w:rsid w:val="00D6111F"/>
    <w:rsid w:val="00D61677"/>
    <w:rsid w:val="00D625D9"/>
    <w:rsid w:val="00D62FA2"/>
    <w:rsid w:val="00D676FF"/>
    <w:rsid w:val="00D70CC8"/>
    <w:rsid w:val="00D755DC"/>
    <w:rsid w:val="00D93D12"/>
    <w:rsid w:val="00D9452F"/>
    <w:rsid w:val="00D94788"/>
    <w:rsid w:val="00D9693F"/>
    <w:rsid w:val="00DA3998"/>
    <w:rsid w:val="00DA563F"/>
    <w:rsid w:val="00DA5BBC"/>
    <w:rsid w:val="00DB221D"/>
    <w:rsid w:val="00DB4798"/>
    <w:rsid w:val="00DB54ED"/>
    <w:rsid w:val="00DB68BB"/>
    <w:rsid w:val="00DB7047"/>
    <w:rsid w:val="00DC13D3"/>
    <w:rsid w:val="00DC368A"/>
    <w:rsid w:val="00DC66D4"/>
    <w:rsid w:val="00DC741D"/>
    <w:rsid w:val="00DD09C8"/>
    <w:rsid w:val="00DD43F4"/>
    <w:rsid w:val="00DE1459"/>
    <w:rsid w:val="00DE145A"/>
    <w:rsid w:val="00DE4C8D"/>
    <w:rsid w:val="00DE5B19"/>
    <w:rsid w:val="00DE68AA"/>
    <w:rsid w:val="00DF06F7"/>
    <w:rsid w:val="00DF631F"/>
    <w:rsid w:val="00DF6C12"/>
    <w:rsid w:val="00E0076E"/>
    <w:rsid w:val="00E04E67"/>
    <w:rsid w:val="00E05479"/>
    <w:rsid w:val="00E05A3C"/>
    <w:rsid w:val="00E10A06"/>
    <w:rsid w:val="00E124DF"/>
    <w:rsid w:val="00E1423E"/>
    <w:rsid w:val="00E151FF"/>
    <w:rsid w:val="00E264E8"/>
    <w:rsid w:val="00E31878"/>
    <w:rsid w:val="00E43E6B"/>
    <w:rsid w:val="00E45C78"/>
    <w:rsid w:val="00E46C96"/>
    <w:rsid w:val="00E52D28"/>
    <w:rsid w:val="00E54049"/>
    <w:rsid w:val="00E55EAC"/>
    <w:rsid w:val="00E5618A"/>
    <w:rsid w:val="00E57AFD"/>
    <w:rsid w:val="00E628FB"/>
    <w:rsid w:val="00E659B8"/>
    <w:rsid w:val="00E70832"/>
    <w:rsid w:val="00E75465"/>
    <w:rsid w:val="00E7583D"/>
    <w:rsid w:val="00E75A44"/>
    <w:rsid w:val="00E77950"/>
    <w:rsid w:val="00E83688"/>
    <w:rsid w:val="00E844D4"/>
    <w:rsid w:val="00E84FB9"/>
    <w:rsid w:val="00E87757"/>
    <w:rsid w:val="00E90727"/>
    <w:rsid w:val="00E92C4F"/>
    <w:rsid w:val="00E93E3E"/>
    <w:rsid w:val="00E94EDD"/>
    <w:rsid w:val="00EA0EEA"/>
    <w:rsid w:val="00EA21EF"/>
    <w:rsid w:val="00EA376A"/>
    <w:rsid w:val="00EA5707"/>
    <w:rsid w:val="00EB00F5"/>
    <w:rsid w:val="00EB2018"/>
    <w:rsid w:val="00EB315A"/>
    <w:rsid w:val="00EB7F2D"/>
    <w:rsid w:val="00EC09DC"/>
    <w:rsid w:val="00EC167B"/>
    <w:rsid w:val="00EC33F3"/>
    <w:rsid w:val="00EC72EF"/>
    <w:rsid w:val="00ED05D3"/>
    <w:rsid w:val="00ED262A"/>
    <w:rsid w:val="00ED2B4F"/>
    <w:rsid w:val="00ED4518"/>
    <w:rsid w:val="00ED553D"/>
    <w:rsid w:val="00EE0B91"/>
    <w:rsid w:val="00EE0FD1"/>
    <w:rsid w:val="00EE2A51"/>
    <w:rsid w:val="00EE2D77"/>
    <w:rsid w:val="00EE3CC5"/>
    <w:rsid w:val="00EE5D0D"/>
    <w:rsid w:val="00EE6040"/>
    <w:rsid w:val="00EE60B3"/>
    <w:rsid w:val="00EF347C"/>
    <w:rsid w:val="00EF5509"/>
    <w:rsid w:val="00EF592A"/>
    <w:rsid w:val="00EF5DDE"/>
    <w:rsid w:val="00F10B18"/>
    <w:rsid w:val="00F13B3C"/>
    <w:rsid w:val="00F155F0"/>
    <w:rsid w:val="00F15FEB"/>
    <w:rsid w:val="00F21CC6"/>
    <w:rsid w:val="00F315A9"/>
    <w:rsid w:val="00F32193"/>
    <w:rsid w:val="00F353B0"/>
    <w:rsid w:val="00F35B81"/>
    <w:rsid w:val="00F37CB3"/>
    <w:rsid w:val="00F400D1"/>
    <w:rsid w:val="00F40410"/>
    <w:rsid w:val="00F40A63"/>
    <w:rsid w:val="00F415CC"/>
    <w:rsid w:val="00F42E8E"/>
    <w:rsid w:val="00F44EEE"/>
    <w:rsid w:val="00F46813"/>
    <w:rsid w:val="00F52F0E"/>
    <w:rsid w:val="00F56A95"/>
    <w:rsid w:val="00F5742E"/>
    <w:rsid w:val="00F63D13"/>
    <w:rsid w:val="00F65582"/>
    <w:rsid w:val="00F66003"/>
    <w:rsid w:val="00F666D6"/>
    <w:rsid w:val="00F66BB8"/>
    <w:rsid w:val="00F678BB"/>
    <w:rsid w:val="00F72EEB"/>
    <w:rsid w:val="00F73F3B"/>
    <w:rsid w:val="00F7479A"/>
    <w:rsid w:val="00F75BE5"/>
    <w:rsid w:val="00F772DE"/>
    <w:rsid w:val="00F869D0"/>
    <w:rsid w:val="00F91A66"/>
    <w:rsid w:val="00F931BB"/>
    <w:rsid w:val="00F93247"/>
    <w:rsid w:val="00F949AB"/>
    <w:rsid w:val="00F94D6F"/>
    <w:rsid w:val="00FA0F24"/>
    <w:rsid w:val="00FA0FB3"/>
    <w:rsid w:val="00FA4F57"/>
    <w:rsid w:val="00FB2D4F"/>
    <w:rsid w:val="00FB3451"/>
    <w:rsid w:val="00FB3728"/>
    <w:rsid w:val="00FB422A"/>
    <w:rsid w:val="00FB6B66"/>
    <w:rsid w:val="00FC41B7"/>
    <w:rsid w:val="00FC6529"/>
    <w:rsid w:val="00FC6C85"/>
    <w:rsid w:val="00FD0359"/>
    <w:rsid w:val="00FD2D96"/>
    <w:rsid w:val="00FD4B86"/>
    <w:rsid w:val="00FE5000"/>
    <w:rsid w:val="00FE5A03"/>
    <w:rsid w:val="00FE6BB6"/>
    <w:rsid w:val="00FF2387"/>
    <w:rsid w:val="00FF4869"/>
    <w:rsid w:val="00FF4BDB"/>
    <w:rsid w:val="00FF53EA"/>
    <w:rsid w:val="00FF5F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724B4E"/>
  <w15:docId w15:val="{7250CA0D-4731-420B-A24A-D6C717E34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677"/>
    <w:pPr>
      <w:spacing w:after="3" w:line="358" w:lineRule="auto"/>
      <w:ind w:left="86" w:hanging="10"/>
    </w:pPr>
    <w:rPr>
      <w:rFonts w:ascii="Cambria" w:eastAsia="Cambria" w:hAnsi="Cambria" w:cs="Cambria"/>
      <w:color w:val="000000"/>
      <w:sz w:val="24"/>
      <w:lang w:val="fr-CM"/>
    </w:rPr>
  </w:style>
  <w:style w:type="paragraph" w:styleId="Titre1">
    <w:name w:val="heading 1"/>
    <w:next w:val="Normal"/>
    <w:link w:val="Titre1Car"/>
    <w:uiPriority w:val="9"/>
    <w:unhideWhenUsed/>
    <w:qFormat/>
    <w:rsid w:val="00D61677"/>
    <w:pPr>
      <w:keepNext/>
      <w:keepLines/>
      <w:numPr>
        <w:numId w:val="1"/>
      </w:numPr>
      <w:spacing w:after="274"/>
      <w:ind w:left="86" w:hanging="10"/>
      <w:outlineLvl w:val="0"/>
    </w:pPr>
    <w:rPr>
      <w:rFonts w:ascii="Cambria" w:eastAsia="Cambria" w:hAnsi="Cambria" w:cs="Cambria"/>
      <w:b/>
      <w:color w:val="00000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D61677"/>
    <w:rPr>
      <w:rFonts w:ascii="Cambria" w:eastAsia="Cambria" w:hAnsi="Cambria" w:cs="Cambria"/>
      <w:b/>
      <w:color w:val="000000"/>
      <w:sz w:val="24"/>
    </w:rPr>
  </w:style>
  <w:style w:type="table" w:customStyle="1" w:styleId="TableGrid">
    <w:name w:val="TableGrid"/>
    <w:rsid w:val="00D61677"/>
    <w:pPr>
      <w:spacing w:after="0" w:line="240" w:lineRule="auto"/>
    </w:pPr>
    <w:tblPr>
      <w:tblCellMar>
        <w:top w:w="0" w:type="dxa"/>
        <w:left w:w="0" w:type="dxa"/>
        <w:bottom w:w="0" w:type="dxa"/>
        <w:right w:w="0" w:type="dxa"/>
      </w:tblCellMar>
    </w:tblPr>
  </w:style>
  <w:style w:type="table" w:styleId="Grilledutableau">
    <w:name w:val="Table Grid"/>
    <w:basedOn w:val="TableauNormal"/>
    <w:uiPriority w:val="39"/>
    <w:qFormat/>
    <w:rsid w:val="00BA77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Liste6Couleur-Accentuation51">
    <w:name w:val="Tableau Liste 6 Couleur - Accentuation 51"/>
    <w:basedOn w:val="TableauNormal"/>
    <w:uiPriority w:val="51"/>
    <w:rsid w:val="00BA7741"/>
    <w:pPr>
      <w:spacing w:after="0" w:line="240" w:lineRule="auto"/>
    </w:pPr>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Paragraphedeliste">
    <w:name w:val="List Paragraph"/>
    <w:aliases w:val="Normal 2,Tableau"/>
    <w:basedOn w:val="Normal"/>
    <w:link w:val="ParagraphedelisteCar"/>
    <w:uiPriority w:val="34"/>
    <w:qFormat/>
    <w:rsid w:val="00D506D1"/>
    <w:pPr>
      <w:spacing w:after="160" w:line="259" w:lineRule="auto"/>
      <w:ind w:left="720" w:firstLine="0"/>
      <w:contextualSpacing/>
    </w:pPr>
    <w:rPr>
      <w:rFonts w:ascii="Calibri" w:eastAsia="Calibri" w:hAnsi="Calibri" w:cs="Times New Roman"/>
      <w:color w:val="auto"/>
      <w:sz w:val="22"/>
      <w:lang w:eastAsia="en-US"/>
    </w:rPr>
  </w:style>
  <w:style w:type="character" w:customStyle="1" w:styleId="Lienhypertexte1">
    <w:name w:val="Lien hypertexte1"/>
    <w:basedOn w:val="Policepardfaut"/>
    <w:uiPriority w:val="99"/>
    <w:unhideWhenUsed/>
    <w:rsid w:val="00D506D1"/>
    <w:rPr>
      <w:color w:val="0563C1"/>
      <w:u w:val="single"/>
    </w:rPr>
  </w:style>
  <w:style w:type="paragraph" w:styleId="Pieddepage">
    <w:name w:val="footer"/>
    <w:basedOn w:val="Normal"/>
    <w:link w:val="PieddepageCar"/>
    <w:uiPriority w:val="99"/>
    <w:unhideWhenUsed/>
    <w:qFormat/>
    <w:rsid w:val="00D506D1"/>
    <w:pPr>
      <w:tabs>
        <w:tab w:val="center" w:pos="4536"/>
        <w:tab w:val="right" w:pos="9072"/>
      </w:tabs>
      <w:spacing w:after="0" w:line="240" w:lineRule="auto"/>
      <w:ind w:left="0" w:firstLine="0"/>
    </w:pPr>
    <w:rPr>
      <w:rFonts w:ascii="Calibri" w:eastAsia="DengXian" w:hAnsi="Calibri" w:cs="Times New Roman"/>
      <w:color w:val="auto"/>
      <w:sz w:val="22"/>
    </w:rPr>
  </w:style>
  <w:style w:type="character" w:customStyle="1" w:styleId="PieddepageCar">
    <w:name w:val="Pied de page Car"/>
    <w:basedOn w:val="Policepardfaut"/>
    <w:link w:val="Pieddepage"/>
    <w:uiPriority w:val="99"/>
    <w:rsid w:val="00D506D1"/>
    <w:rPr>
      <w:rFonts w:ascii="Calibri" w:eastAsia="DengXian" w:hAnsi="Calibri" w:cs="Times New Roman"/>
    </w:rPr>
  </w:style>
  <w:style w:type="character" w:styleId="Lienhypertexte">
    <w:name w:val="Hyperlink"/>
    <w:basedOn w:val="Policepardfaut"/>
    <w:uiPriority w:val="99"/>
    <w:unhideWhenUsed/>
    <w:rsid w:val="00D506D1"/>
    <w:rPr>
      <w:color w:val="0563C1" w:themeColor="hyperlink"/>
      <w:u w:val="single"/>
    </w:rPr>
  </w:style>
  <w:style w:type="paragraph" w:styleId="En-tte">
    <w:name w:val="header"/>
    <w:basedOn w:val="Normal"/>
    <w:link w:val="En-tteCar"/>
    <w:uiPriority w:val="99"/>
    <w:unhideWhenUsed/>
    <w:rsid w:val="00D506D1"/>
    <w:pPr>
      <w:tabs>
        <w:tab w:val="center" w:pos="4536"/>
        <w:tab w:val="right" w:pos="9072"/>
      </w:tabs>
      <w:spacing w:after="0" w:line="240" w:lineRule="auto"/>
    </w:pPr>
  </w:style>
  <w:style w:type="character" w:customStyle="1" w:styleId="En-tteCar">
    <w:name w:val="En-tête Car"/>
    <w:basedOn w:val="Policepardfaut"/>
    <w:link w:val="En-tte"/>
    <w:uiPriority w:val="99"/>
    <w:rsid w:val="00D506D1"/>
    <w:rPr>
      <w:rFonts w:ascii="Cambria" w:eastAsia="Cambria" w:hAnsi="Cambria" w:cs="Cambria"/>
      <w:color w:val="000000"/>
      <w:sz w:val="24"/>
    </w:rPr>
  </w:style>
  <w:style w:type="character" w:customStyle="1" w:styleId="Mentionnonrsolue1">
    <w:name w:val="Mention non résolue1"/>
    <w:basedOn w:val="Policepardfaut"/>
    <w:uiPriority w:val="99"/>
    <w:semiHidden/>
    <w:unhideWhenUsed/>
    <w:rsid w:val="00166B29"/>
    <w:rPr>
      <w:color w:val="605E5C"/>
      <w:shd w:val="clear" w:color="auto" w:fill="E1DFDD"/>
    </w:rPr>
  </w:style>
  <w:style w:type="paragraph" w:customStyle="1" w:styleId="Default">
    <w:name w:val="Default"/>
    <w:link w:val="DefaultCar"/>
    <w:rsid w:val="00DA399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customStyle="1" w:styleId="TableauListe6Couleur-Accentuation11">
    <w:name w:val="Tableau Liste 6 Couleur - Accentuation 11"/>
    <w:basedOn w:val="TableauNormal"/>
    <w:uiPriority w:val="51"/>
    <w:rsid w:val="00C615EB"/>
    <w:pPr>
      <w:spacing w:after="0" w:line="240" w:lineRule="auto"/>
    </w:pPr>
    <w:rPr>
      <w:rFonts w:eastAsiaTheme="minorHAnsi"/>
      <w:color w:val="2E74B5" w:themeColor="accent1" w:themeShade="BF"/>
      <w:lang w:eastAsia="en-US"/>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extedebulles">
    <w:name w:val="Balloon Text"/>
    <w:basedOn w:val="Normal"/>
    <w:link w:val="TextedebullesCar"/>
    <w:uiPriority w:val="99"/>
    <w:semiHidden/>
    <w:unhideWhenUsed/>
    <w:rsid w:val="00AB71D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B71DF"/>
    <w:rPr>
      <w:rFonts w:ascii="Tahoma" w:eastAsia="Cambria" w:hAnsi="Tahoma" w:cs="Tahoma"/>
      <w:color w:val="000000"/>
      <w:sz w:val="16"/>
      <w:szCs w:val="16"/>
    </w:rPr>
  </w:style>
  <w:style w:type="table" w:customStyle="1" w:styleId="Tableausimple41">
    <w:name w:val="Tableau simple 41"/>
    <w:basedOn w:val="TableauNormal"/>
    <w:uiPriority w:val="44"/>
    <w:rsid w:val="00AD341B"/>
    <w:pPr>
      <w:spacing w:after="0" w:line="240" w:lineRule="auto"/>
    </w:pPr>
    <w:rPr>
      <w:rFonts w:eastAsiaTheme="minorHAnsi"/>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DefaultCar">
    <w:name w:val="Default Car"/>
    <w:basedOn w:val="Policepardfaut"/>
    <w:link w:val="Default"/>
    <w:rsid w:val="00BB5550"/>
    <w:rPr>
      <w:rFonts w:ascii="Times New Roman" w:eastAsiaTheme="minorHAnsi" w:hAnsi="Times New Roman" w:cs="Times New Roman"/>
      <w:color w:val="000000"/>
      <w:sz w:val="24"/>
      <w:szCs w:val="24"/>
      <w:lang w:eastAsia="en-US"/>
    </w:rPr>
  </w:style>
  <w:style w:type="table" w:customStyle="1" w:styleId="Tableausimple21">
    <w:name w:val="Tableau simple 21"/>
    <w:basedOn w:val="TableauNormal"/>
    <w:uiPriority w:val="42"/>
    <w:rsid w:val="00BB5550"/>
    <w:pPr>
      <w:spacing w:after="0" w:line="240" w:lineRule="auto"/>
    </w:pPr>
    <w:rPr>
      <w:rFonts w:eastAsiaTheme="minorHAnsi"/>
      <w:sz w:val="24"/>
      <w:szCs w:val="24"/>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Corpsdetexte">
    <w:name w:val="Body Text"/>
    <w:basedOn w:val="Normal"/>
    <w:link w:val="CorpsdetexteCar"/>
    <w:uiPriority w:val="99"/>
    <w:semiHidden/>
    <w:unhideWhenUsed/>
    <w:rsid w:val="0086330D"/>
    <w:pPr>
      <w:spacing w:after="120"/>
    </w:pPr>
  </w:style>
  <w:style w:type="character" w:customStyle="1" w:styleId="CorpsdetexteCar">
    <w:name w:val="Corps de texte Car"/>
    <w:basedOn w:val="Policepardfaut"/>
    <w:link w:val="Corpsdetexte"/>
    <w:uiPriority w:val="99"/>
    <w:semiHidden/>
    <w:rsid w:val="0086330D"/>
    <w:rPr>
      <w:rFonts w:ascii="Cambria" w:eastAsia="Cambria" w:hAnsi="Cambria" w:cs="Cambria"/>
      <w:color w:val="000000"/>
      <w:sz w:val="24"/>
    </w:rPr>
  </w:style>
  <w:style w:type="paragraph" w:styleId="NormalWeb">
    <w:name w:val="Normal (Web)"/>
    <w:basedOn w:val="Normal"/>
    <w:uiPriority w:val="99"/>
    <w:semiHidden/>
    <w:unhideWhenUsed/>
    <w:rsid w:val="0086330D"/>
    <w:rPr>
      <w:rFonts w:ascii="Times New Roman" w:hAnsi="Times New Roman" w:cs="Times New Roman"/>
      <w:szCs w:val="24"/>
    </w:rPr>
  </w:style>
  <w:style w:type="table" w:customStyle="1" w:styleId="TableauListe6Couleur-Accentuation52">
    <w:name w:val="Tableau Liste 6 Couleur - Accentuation 52"/>
    <w:basedOn w:val="TableauNormal"/>
    <w:uiPriority w:val="51"/>
    <w:rsid w:val="00A9249B"/>
    <w:pPr>
      <w:spacing w:after="0" w:line="240" w:lineRule="auto"/>
    </w:pPr>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rameclaire-Accent11">
    <w:name w:val="Trame claire - Accent 11"/>
    <w:basedOn w:val="TableauNormal"/>
    <w:uiPriority w:val="60"/>
    <w:rsid w:val="009D1F72"/>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TableGrid3">
    <w:name w:val="TableGrid3"/>
    <w:rsid w:val="00DE1459"/>
    <w:pPr>
      <w:spacing w:after="0" w:line="240" w:lineRule="auto"/>
    </w:pPr>
    <w:rPr>
      <w:rFonts w:eastAsia="Times New Roman"/>
      <w:kern w:val="2"/>
    </w:rPr>
    <w:tblPr>
      <w:tblCellMar>
        <w:top w:w="0" w:type="dxa"/>
        <w:left w:w="0" w:type="dxa"/>
        <w:bottom w:w="0" w:type="dxa"/>
        <w:right w:w="0" w:type="dxa"/>
      </w:tblCellMar>
    </w:tblPr>
  </w:style>
  <w:style w:type="character" w:customStyle="1" w:styleId="ParagraphedelisteCar">
    <w:name w:val="Paragraphe de liste Car"/>
    <w:aliases w:val="Normal 2 Car,Tableau Car"/>
    <w:link w:val="Paragraphedeliste"/>
    <w:uiPriority w:val="34"/>
    <w:qFormat/>
    <w:rsid w:val="00C41E5F"/>
    <w:rPr>
      <w:rFonts w:ascii="Calibri" w:eastAsia="Calibri" w:hAnsi="Calibri" w:cs="Times New Roman"/>
      <w:lang w:eastAsia="en-US"/>
    </w:rPr>
  </w:style>
  <w:style w:type="table" w:customStyle="1" w:styleId="Grilledutableau4">
    <w:name w:val="Grille du tableau4"/>
    <w:basedOn w:val="TableauNormal"/>
    <w:next w:val="Grilledutableau"/>
    <w:uiPriority w:val="39"/>
    <w:rsid w:val="00C41E5F"/>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39"/>
    <w:rsid w:val="00BC78B8"/>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39"/>
    <w:rsid w:val="00BE1299"/>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6D578A"/>
    <w:rPr>
      <w:sz w:val="16"/>
      <w:szCs w:val="16"/>
    </w:rPr>
  </w:style>
  <w:style w:type="paragraph" w:styleId="Commentaire">
    <w:name w:val="annotation text"/>
    <w:basedOn w:val="Normal"/>
    <w:link w:val="CommentaireCar"/>
    <w:uiPriority w:val="99"/>
    <w:unhideWhenUsed/>
    <w:rsid w:val="006D578A"/>
    <w:pPr>
      <w:spacing w:after="200" w:line="240" w:lineRule="auto"/>
      <w:ind w:left="0" w:firstLine="0"/>
    </w:pPr>
    <w:rPr>
      <w:rFonts w:asciiTheme="minorHAnsi" w:eastAsiaTheme="minorEastAsia" w:hAnsiTheme="minorHAnsi" w:cstheme="minorBidi"/>
      <w:color w:val="auto"/>
      <w:sz w:val="20"/>
      <w:szCs w:val="20"/>
      <w:lang w:eastAsia="en-US"/>
    </w:rPr>
  </w:style>
  <w:style w:type="character" w:customStyle="1" w:styleId="CommentaireCar">
    <w:name w:val="Commentaire Car"/>
    <w:basedOn w:val="Policepardfaut"/>
    <w:link w:val="Commentaire"/>
    <w:uiPriority w:val="99"/>
    <w:rsid w:val="006D578A"/>
    <w:rPr>
      <w:sz w:val="20"/>
      <w:szCs w:val="20"/>
      <w:lang w:eastAsia="en-US"/>
    </w:rPr>
  </w:style>
  <w:style w:type="character" w:styleId="Mentionnonrsolue">
    <w:name w:val="Unresolved Mention"/>
    <w:basedOn w:val="Policepardfaut"/>
    <w:uiPriority w:val="99"/>
    <w:semiHidden/>
    <w:unhideWhenUsed/>
    <w:rsid w:val="00975434"/>
    <w:rPr>
      <w:color w:val="605E5C"/>
      <w:shd w:val="clear" w:color="auto" w:fill="E1DFDD"/>
    </w:rPr>
  </w:style>
  <w:style w:type="table" w:styleId="Listemoyenne1-Accent1">
    <w:name w:val="Medium List 1 Accent 1"/>
    <w:basedOn w:val="TableauNormal"/>
    <w:uiPriority w:val="65"/>
    <w:semiHidden/>
    <w:unhideWhenUsed/>
    <w:rsid w:val="00DD09C8"/>
    <w:pPr>
      <w:spacing w:after="0" w:line="240" w:lineRule="auto"/>
    </w:pPr>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TableauListe6Couleur-Accentuation5">
    <w:name w:val="List Table 6 Colorful Accent 5"/>
    <w:basedOn w:val="TableauNormal"/>
    <w:uiPriority w:val="51"/>
    <w:rsid w:val="00543998"/>
    <w:pPr>
      <w:spacing w:after="0" w:line="240" w:lineRule="auto"/>
    </w:pPr>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Textedelespacerserv">
    <w:name w:val="Placeholder Text"/>
    <w:basedOn w:val="Policepardfaut"/>
    <w:uiPriority w:val="99"/>
    <w:semiHidden/>
    <w:rsid w:val="00543998"/>
    <w:rPr>
      <w:color w:val="808080"/>
    </w:rPr>
  </w:style>
  <w:style w:type="table" w:customStyle="1" w:styleId="TableauListe6Couleur11">
    <w:name w:val="Tableau Liste 6 Couleur11"/>
    <w:basedOn w:val="TableauNormal"/>
    <w:uiPriority w:val="51"/>
    <w:rsid w:val="00543998"/>
    <w:pPr>
      <w:spacing w:after="0" w:line="240" w:lineRule="auto"/>
    </w:pPr>
    <w:rPr>
      <w:rFonts w:eastAsiaTheme="minorHAnsi"/>
      <w:color w:val="000000"/>
      <w:lang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9E161F"/>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Bibliographie">
    <w:name w:val="Bibliography"/>
    <w:basedOn w:val="Normal"/>
    <w:next w:val="Normal"/>
    <w:uiPriority w:val="37"/>
    <w:semiHidden/>
    <w:unhideWhenUsed/>
    <w:rsid w:val="00283240"/>
  </w:style>
  <w:style w:type="table" w:styleId="TableauListe7Couleur-Accentuation1">
    <w:name w:val="List Table 7 Colorful Accent 1"/>
    <w:basedOn w:val="TableauNormal"/>
    <w:uiPriority w:val="52"/>
    <w:rsid w:val="009B0C59"/>
    <w:pPr>
      <w:spacing w:after="0" w:line="240" w:lineRule="auto"/>
    </w:pPr>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gende">
    <w:name w:val="caption"/>
    <w:basedOn w:val="Normal"/>
    <w:next w:val="Normal"/>
    <w:uiPriority w:val="35"/>
    <w:unhideWhenUsed/>
    <w:qFormat/>
    <w:rsid w:val="00D4200F"/>
    <w:pPr>
      <w:spacing w:after="200" w:line="240" w:lineRule="auto"/>
      <w:ind w:left="0" w:firstLine="0"/>
    </w:pPr>
    <w:rPr>
      <w:rFonts w:ascii="Times New Roman" w:eastAsia="Times New Roman" w:hAnsi="Times New Roman" w:cs="Times New Roman"/>
      <w:i/>
      <w:iCs/>
      <w:color w:val="44546A" w:themeColor="text2"/>
      <w:sz w:val="18"/>
      <w:szCs w:val="18"/>
      <w:lang w:val="fr-FR"/>
    </w:rPr>
  </w:style>
  <w:style w:type="table" w:customStyle="1" w:styleId="TableauListe6Couleur-Accentuation12">
    <w:name w:val="Tableau Liste 6 Couleur - Accentuation 12"/>
    <w:basedOn w:val="TableauNormal"/>
    <w:next w:val="TableauListe6Couleur-Accentuation1"/>
    <w:uiPriority w:val="51"/>
    <w:rsid w:val="00D4200F"/>
    <w:pPr>
      <w:spacing w:after="0" w:line="240" w:lineRule="auto"/>
    </w:pPr>
    <w:rPr>
      <w:rFonts w:eastAsiaTheme="minorHAnsi"/>
      <w:color w:val="2E74B5" w:themeColor="accent1" w:themeShade="BF"/>
      <w:lang w:eastAsia="en-US"/>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77931">
      <w:bodyDiv w:val="1"/>
      <w:marLeft w:val="0"/>
      <w:marRight w:val="0"/>
      <w:marTop w:val="0"/>
      <w:marBottom w:val="0"/>
      <w:divBdr>
        <w:top w:val="none" w:sz="0" w:space="0" w:color="auto"/>
        <w:left w:val="none" w:sz="0" w:space="0" w:color="auto"/>
        <w:bottom w:val="none" w:sz="0" w:space="0" w:color="auto"/>
        <w:right w:val="none" w:sz="0" w:space="0" w:color="auto"/>
      </w:divBdr>
    </w:div>
    <w:div w:id="75784882">
      <w:bodyDiv w:val="1"/>
      <w:marLeft w:val="0"/>
      <w:marRight w:val="0"/>
      <w:marTop w:val="0"/>
      <w:marBottom w:val="0"/>
      <w:divBdr>
        <w:top w:val="none" w:sz="0" w:space="0" w:color="auto"/>
        <w:left w:val="none" w:sz="0" w:space="0" w:color="auto"/>
        <w:bottom w:val="none" w:sz="0" w:space="0" w:color="auto"/>
        <w:right w:val="none" w:sz="0" w:space="0" w:color="auto"/>
      </w:divBdr>
    </w:div>
    <w:div w:id="259719824">
      <w:bodyDiv w:val="1"/>
      <w:marLeft w:val="0"/>
      <w:marRight w:val="0"/>
      <w:marTop w:val="0"/>
      <w:marBottom w:val="0"/>
      <w:divBdr>
        <w:top w:val="none" w:sz="0" w:space="0" w:color="auto"/>
        <w:left w:val="none" w:sz="0" w:space="0" w:color="auto"/>
        <w:bottom w:val="none" w:sz="0" w:space="0" w:color="auto"/>
        <w:right w:val="none" w:sz="0" w:space="0" w:color="auto"/>
      </w:divBdr>
    </w:div>
    <w:div w:id="288051858">
      <w:bodyDiv w:val="1"/>
      <w:marLeft w:val="0"/>
      <w:marRight w:val="0"/>
      <w:marTop w:val="0"/>
      <w:marBottom w:val="0"/>
      <w:divBdr>
        <w:top w:val="none" w:sz="0" w:space="0" w:color="auto"/>
        <w:left w:val="none" w:sz="0" w:space="0" w:color="auto"/>
        <w:bottom w:val="none" w:sz="0" w:space="0" w:color="auto"/>
        <w:right w:val="none" w:sz="0" w:space="0" w:color="auto"/>
      </w:divBdr>
    </w:div>
    <w:div w:id="356392356">
      <w:bodyDiv w:val="1"/>
      <w:marLeft w:val="0"/>
      <w:marRight w:val="0"/>
      <w:marTop w:val="0"/>
      <w:marBottom w:val="0"/>
      <w:divBdr>
        <w:top w:val="none" w:sz="0" w:space="0" w:color="auto"/>
        <w:left w:val="none" w:sz="0" w:space="0" w:color="auto"/>
        <w:bottom w:val="none" w:sz="0" w:space="0" w:color="auto"/>
        <w:right w:val="none" w:sz="0" w:space="0" w:color="auto"/>
      </w:divBdr>
    </w:div>
    <w:div w:id="633104466">
      <w:bodyDiv w:val="1"/>
      <w:marLeft w:val="0"/>
      <w:marRight w:val="0"/>
      <w:marTop w:val="0"/>
      <w:marBottom w:val="0"/>
      <w:divBdr>
        <w:top w:val="none" w:sz="0" w:space="0" w:color="auto"/>
        <w:left w:val="none" w:sz="0" w:space="0" w:color="auto"/>
        <w:bottom w:val="none" w:sz="0" w:space="0" w:color="auto"/>
        <w:right w:val="none" w:sz="0" w:space="0" w:color="auto"/>
      </w:divBdr>
    </w:div>
    <w:div w:id="722482241">
      <w:bodyDiv w:val="1"/>
      <w:marLeft w:val="0"/>
      <w:marRight w:val="0"/>
      <w:marTop w:val="0"/>
      <w:marBottom w:val="0"/>
      <w:divBdr>
        <w:top w:val="none" w:sz="0" w:space="0" w:color="auto"/>
        <w:left w:val="none" w:sz="0" w:space="0" w:color="auto"/>
        <w:bottom w:val="none" w:sz="0" w:space="0" w:color="auto"/>
        <w:right w:val="none" w:sz="0" w:space="0" w:color="auto"/>
      </w:divBdr>
    </w:div>
    <w:div w:id="832451769">
      <w:bodyDiv w:val="1"/>
      <w:marLeft w:val="0"/>
      <w:marRight w:val="0"/>
      <w:marTop w:val="0"/>
      <w:marBottom w:val="0"/>
      <w:divBdr>
        <w:top w:val="none" w:sz="0" w:space="0" w:color="auto"/>
        <w:left w:val="none" w:sz="0" w:space="0" w:color="auto"/>
        <w:bottom w:val="none" w:sz="0" w:space="0" w:color="auto"/>
        <w:right w:val="none" w:sz="0" w:space="0" w:color="auto"/>
      </w:divBdr>
    </w:div>
    <w:div w:id="925457511">
      <w:bodyDiv w:val="1"/>
      <w:marLeft w:val="0"/>
      <w:marRight w:val="0"/>
      <w:marTop w:val="0"/>
      <w:marBottom w:val="0"/>
      <w:divBdr>
        <w:top w:val="none" w:sz="0" w:space="0" w:color="auto"/>
        <w:left w:val="none" w:sz="0" w:space="0" w:color="auto"/>
        <w:bottom w:val="none" w:sz="0" w:space="0" w:color="auto"/>
        <w:right w:val="none" w:sz="0" w:space="0" w:color="auto"/>
      </w:divBdr>
    </w:div>
    <w:div w:id="980187801">
      <w:bodyDiv w:val="1"/>
      <w:marLeft w:val="0"/>
      <w:marRight w:val="0"/>
      <w:marTop w:val="0"/>
      <w:marBottom w:val="0"/>
      <w:divBdr>
        <w:top w:val="none" w:sz="0" w:space="0" w:color="auto"/>
        <w:left w:val="none" w:sz="0" w:space="0" w:color="auto"/>
        <w:bottom w:val="none" w:sz="0" w:space="0" w:color="auto"/>
        <w:right w:val="none" w:sz="0" w:space="0" w:color="auto"/>
      </w:divBdr>
    </w:div>
    <w:div w:id="999045917">
      <w:bodyDiv w:val="1"/>
      <w:marLeft w:val="0"/>
      <w:marRight w:val="0"/>
      <w:marTop w:val="0"/>
      <w:marBottom w:val="0"/>
      <w:divBdr>
        <w:top w:val="none" w:sz="0" w:space="0" w:color="auto"/>
        <w:left w:val="none" w:sz="0" w:space="0" w:color="auto"/>
        <w:bottom w:val="none" w:sz="0" w:space="0" w:color="auto"/>
        <w:right w:val="none" w:sz="0" w:space="0" w:color="auto"/>
      </w:divBdr>
    </w:div>
    <w:div w:id="1025013829">
      <w:bodyDiv w:val="1"/>
      <w:marLeft w:val="0"/>
      <w:marRight w:val="0"/>
      <w:marTop w:val="0"/>
      <w:marBottom w:val="0"/>
      <w:divBdr>
        <w:top w:val="none" w:sz="0" w:space="0" w:color="auto"/>
        <w:left w:val="none" w:sz="0" w:space="0" w:color="auto"/>
        <w:bottom w:val="none" w:sz="0" w:space="0" w:color="auto"/>
        <w:right w:val="none" w:sz="0" w:space="0" w:color="auto"/>
      </w:divBdr>
    </w:div>
    <w:div w:id="1051927612">
      <w:bodyDiv w:val="1"/>
      <w:marLeft w:val="0"/>
      <w:marRight w:val="0"/>
      <w:marTop w:val="0"/>
      <w:marBottom w:val="0"/>
      <w:divBdr>
        <w:top w:val="none" w:sz="0" w:space="0" w:color="auto"/>
        <w:left w:val="none" w:sz="0" w:space="0" w:color="auto"/>
        <w:bottom w:val="none" w:sz="0" w:space="0" w:color="auto"/>
        <w:right w:val="none" w:sz="0" w:space="0" w:color="auto"/>
      </w:divBdr>
    </w:div>
    <w:div w:id="1070427543">
      <w:bodyDiv w:val="1"/>
      <w:marLeft w:val="0"/>
      <w:marRight w:val="0"/>
      <w:marTop w:val="0"/>
      <w:marBottom w:val="0"/>
      <w:divBdr>
        <w:top w:val="none" w:sz="0" w:space="0" w:color="auto"/>
        <w:left w:val="none" w:sz="0" w:space="0" w:color="auto"/>
        <w:bottom w:val="none" w:sz="0" w:space="0" w:color="auto"/>
        <w:right w:val="none" w:sz="0" w:space="0" w:color="auto"/>
      </w:divBdr>
    </w:div>
    <w:div w:id="1123694020">
      <w:bodyDiv w:val="1"/>
      <w:marLeft w:val="0"/>
      <w:marRight w:val="0"/>
      <w:marTop w:val="0"/>
      <w:marBottom w:val="0"/>
      <w:divBdr>
        <w:top w:val="none" w:sz="0" w:space="0" w:color="auto"/>
        <w:left w:val="none" w:sz="0" w:space="0" w:color="auto"/>
        <w:bottom w:val="none" w:sz="0" w:space="0" w:color="auto"/>
        <w:right w:val="none" w:sz="0" w:space="0" w:color="auto"/>
      </w:divBdr>
    </w:div>
    <w:div w:id="1134907999">
      <w:bodyDiv w:val="1"/>
      <w:marLeft w:val="0"/>
      <w:marRight w:val="0"/>
      <w:marTop w:val="0"/>
      <w:marBottom w:val="0"/>
      <w:divBdr>
        <w:top w:val="none" w:sz="0" w:space="0" w:color="auto"/>
        <w:left w:val="none" w:sz="0" w:space="0" w:color="auto"/>
        <w:bottom w:val="none" w:sz="0" w:space="0" w:color="auto"/>
        <w:right w:val="none" w:sz="0" w:space="0" w:color="auto"/>
      </w:divBdr>
    </w:div>
    <w:div w:id="1163545775">
      <w:bodyDiv w:val="1"/>
      <w:marLeft w:val="0"/>
      <w:marRight w:val="0"/>
      <w:marTop w:val="0"/>
      <w:marBottom w:val="0"/>
      <w:divBdr>
        <w:top w:val="none" w:sz="0" w:space="0" w:color="auto"/>
        <w:left w:val="none" w:sz="0" w:space="0" w:color="auto"/>
        <w:bottom w:val="none" w:sz="0" w:space="0" w:color="auto"/>
        <w:right w:val="none" w:sz="0" w:space="0" w:color="auto"/>
      </w:divBdr>
    </w:div>
    <w:div w:id="1196428621">
      <w:bodyDiv w:val="1"/>
      <w:marLeft w:val="0"/>
      <w:marRight w:val="0"/>
      <w:marTop w:val="0"/>
      <w:marBottom w:val="0"/>
      <w:divBdr>
        <w:top w:val="none" w:sz="0" w:space="0" w:color="auto"/>
        <w:left w:val="none" w:sz="0" w:space="0" w:color="auto"/>
        <w:bottom w:val="none" w:sz="0" w:space="0" w:color="auto"/>
        <w:right w:val="none" w:sz="0" w:space="0" w:color="auto"/>
      </w:divBdr>
    </w:div>
    <w:div w:id="1463231977">
      <w:bodyDiv w:val="1"/>
      <w:marLeft w:val="0"/>
      <w:marRight w:val="0"/>
      <w:marTop w:val="0"/>
      <w:marBottom w:val="0"/>
      <w:divBdr>
        <w:top w:val="none" w:sz="0" w:space="0" w:color="auto"/>
        <w:left w:val="none" w:sz="0" w:space="0" w:color="auto"/>
        <w:bottom w:val="none" w:sz="0" w:space="0" w:color="auto"/>
        <w:right w:val="none" w:sz="0" w:space="0" w:color="auto"/>
      </w:divBdr>
    </w:div>
    <w:div w:id="1503087012">
      <w:bodyDiv w:val="1"/>
      <w:marLeft w:val="0"/>
      <w:marRight w:val="0"/>
      <w:marTop w:val="0"/>
      <w:marBottom w:val="0"/>
      <w:divBdr>
        <w:top w:val="none" w:sz="0" w:space="0" w:color="auto"/>
        <w:left w:val="none" w:sz="0" w:space="0" w:color="auto"/>
        <w:bottom w:val="none" w:sz="0" w:space="0" w:color="auto"/>
        <w:right w:val="none" w:sz="0" w:space="0" w:color="auto"/>
      </w:divBdr>
    </w:div>
    <w:div w:id="1578784333">
      <w:bodyDiv w:val="1"/>
      <w:marLeft w:val="0"/>
      <w:marRight w:val="0"/>
      <w:marTop w:val="0"/>
      <w:marBottom w:val="0"/>
      <w:divBdr>
        <w:top w:val="none" w:sz="0" w:space="0" w:color="auto"/>
        <w:left w:val="none" w:sz="0" w:space="0" w:color="auto"/>
        <w:bottom w:val="none" w:sz="0" w:space="0" w:color="auto"/>
        <w:right w:val="none" w:sz="0" w:space="0" w:color="auto"/>
      </w:divBdr>
    </w:div>
    <w:div w:id="1685669162">
      <w:bodyDiv w:val="1"/>
      <w:marLeft w:val="0"/>
      <w:marRight w:val="0"/>
      <w:marTop w:val="0"/>
      <w:marBottom w:val="0"/>
      <w:divBdr>
        <w:top w:val="none" w:sz="0" w:space="0" w:color="auto"/>
        <w:left w:val="none" w:sz="0" w:space="0" w:color="auto"/>
        <w:bottom w:val="none" w:sz="0" w:space="0" w:color="auto"/>
        <w:right w:val="none" w:sz="0" w:space="0" w:color="auto"/>
      </w:divBdr>
    </w:div>
    <w:div w:id="1777283977">
      <w:bodyDiv w:val="1"/>
      <w:marLeft w:val="0"/>
      <w:marRight w:val="0"/>
      <w:marTop w:val="0"/>
      <w:marBottom w:val="0"/>
      <w:divBdr>
        <w:top w:val="none" w:sz="0" w:space="0" w:color="auto"/>
        <w:left w:val="none" w:sz="0" w:space="0" w:color="auto"/>
        <w:bottom w:val="none" w:sz="0" w:space="0" w:color="auto"/>
        <w:right w:val="none" w:sz="0" w:space="0" w:color="auto"/>
      </w:divBdr>
    </w:div>
    <w:div w:id="2069455280">
      <w:bodyDiv w:val="1"/>
      <w:marLeft w:val="0"/>
      <w:marRight w:val="0"/>
      <w:marTop w:val="0"/>
      <w:marBottom w:val="0"/>
      <w:divBdr>
        <w:top w:val="none" w:sz="0" w:space="0" w:color="auto"/>
        <w:left w:val="none" w:sz="0" w:space="0" w:color="auto"/>
        <w:bottom w:val="none" w:sz="0" w:space="0" w:color="auto"/>
        <w:right w:val="none" w:sz="0" w:space="0" w:color="auto"/>
      </w:divBdr>
    </w:div>
    <w:div w:id="2147161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wma.net/fr/policies-post/declaration-dhelsinki-de-lamm-principes-ethiques-applicables-a-la-recherche-medicale-impliquant-des-etres-humain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mailto:victorhutu0@gmail.com" TargetMode="External"/><Relationship Id="rId4" Type="http://schemas.openxmlformats.org/officeDocument/2006/relationships/settings" Target="settings.xml"/><Relationship Id="rId9" Type="http://schemas.openxmlformats.org/officeDocument/2006/relationships/hyperlink" Target="mailto:victorhutu0@gmail.com" TargetMode="Externa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 Id="rId4" Type="http://schemas.openxmlformats.org/officeDocument/2006/relationships/image" Target="media/image5.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28DD73-3D56-494A-81EB-15DC73D37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3783</Words>
  <Characters>20807</Characters>
  <Application>Microsoft Office Word</Application>
  <DocSecurity>0</DocSecurity>
  <Lines>173</Lines>
  <Paragraphs>49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1078442</dc:creator>
  <cp:keywords/>
  <cp:lastModifiedBy>Samuel Nko'o Amvene</cp:lastModifiedBy>
  <cp:revision>15</cp:revision>
  <cp:lastPrinted>2024-05-17T13:25:00Z</cp:lastPrinted>
  <dcterms:created xsi:type="dcterms:W3CDTF">2026-04-12T11:34:00Z</dcterms:created>
  <dcterms:modified xsi:type="dcterms:W3CDTF">2026-04-16T08:56:00Z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c4348afeca016d133534b35cc24bc0fef1666bbff6bae7eeec7845c4b6c1dab2</vt:lpwstr>
  </property>
</Properties>
</file>